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2039D055" w:rsidR="00CD4C7B" w:rsidRPr="00C639BE" w:rsidRDefault="003A41EF" w:rsidP="00CD4C7B">
      <w:pPr>
        <w:pStyle w:val="Header"/>
        <w:tabs>
          <w:tab w:val="right" w:pos="9639"/>
        </w:tabs>
        <w:rPr>
          <w:rFonts w:cs="Arial"/>
          <w:bCs/>
          <w:i/>
          <w:noProof w:val="0"/>
          <w:sz w:val="24"/>
          <w:szCs w:val="24"/>
        </w:rPr>
      </w:pPr>
      <w:r w:rsidRPr="00C639BE">
        <w:rPr>
          <w:rFonts w:cs="Arial"/>
          <w:bCs/>
          <w:noProof w:val="0"/>
          <w:sz w:val="24"/>
          <w:szCs w:val="24"/>
        </w:rPr>
        <w:t xml:space="preserve">3GPP TSG-RAN WG2 Meeting </w:t>
      </w:r>
      <w:r w:rsidR="00F941DF" w:rsidRPr="00C639BE">
        <w:rPr>
          <w:rFonts w:cs="Arial"/>
          <w:bCs/>
          <w:noProof w:val="0"/>
          <w:sz w:val="24"/>
          <w:szCs w:val="24"/>
        </w:rPr>
        <w:t>#</w:t>
      </w:r>
      <w:r w:rsidR="00B706CD" w:rsidRPr="00C639BE">
        <w:rPr>
          <w:rFonts w:cs="Arial"/>
          <w:bCs/>
          <w:noProof w:val="0"/>
          <w:sz w:val="24"/>
          <w:szCs w:val="24"/>
        </w:rPr>
        <w:t>10</w:t>
      </w:r>
      <w:r w:rsidR="00FA66E4">
        <w:rPr>
          <w:rFonts w:cs="Arial"/>
          <w:bCs/>
          <w:noProof w:val="0"/>
          <w:sz w:val="24"/>
          <w:szCs w:val="24"/>
        </w:rPr>
        <w:t>7</w:t>
      </w:r>
      <w:r w:rsidR="00CD4C7B" w:rsidRPr="00C639BE">
        <w:rPr>
          <w:rFonts w:cs="Arial"/>
          <w:bCs/>
          <w:noProof w:val="0"/>
          <w:sz w:val="24"/>
          <w:szCs w:val="24"/>
        </w:rPr>
        <w:tab/>
      </w:r>
      <w:r w:rsidR="00396318" w:rsidRPr="00396318">
        <w:rPr>
          <w:rFonts w:cs="Arial"/>
          <w:bCs/>
          <w:noProof w:val="0"/>
          <w:sz w:val="24"/>
          <w:szCs w:val="24"/>
        </w:rPr>
        <w:t>R2-1911426</w:t>
      </w:r>
      <w:bookmarkStart w:id="0" w:name="_GoBack"/>
      <w:bookmarkEnd w:id="0"/>
    </w:p>
    <w:p w14:paraId="231362B2" w14:textId="1E278074" w:rsidR="00CD4C7B" w:rsidRPr="00C639BE" w:rsidRDefault="00FA66E4" w:rsidP="00CD4C7B">
      <w:pPr>
        <w:pStyle w:val="Header"/>
        <w:tabs>
          <w:tab w:val="right" w:pos="9639"/>
        </w:tabs>
        <w:rPr>
          <w:rFonts w:cs="Arial"/>
          <w:bCs/>
          <w:noProof w:val="0"/>
          <w:sz w:val="24"/>
          <w:szCs w:val="24"/>
        </w:rPr>
      </w:pPr>
      <w:r>
        <w:rPr>
          <w:rFonts w:eastAsia="SimSun" w:cs="Arial"/>
          <w:noProof w:val="0"/>
          <w:sz w:val="24"/>
          <w:szCs w:val="24"/>
          <w:lang w:eastAsia="zh-CN"/>
        </w:rPr>
        <w:t>Prague</w:t>
      </w:r>
      <w:r w:rsidR="00482723" w:rsidRPr="00C639BE">
        <w:rPr>
          <w:rFonts w:eastAsia="SimSun" w:cs="Arial"/>
          <w:noProof w:val="0"/>
          <w:sz w:val="24"/>
          <w:szCs w:val="24"/>
          <w:lang w:eastAsia="zh-CN"/>
        </w:rPr>
        <w:t xml:space="preserve">, </w:t>
      </w:r>
      <w:r>
        <w:rPr>
          <w:rFonts w:eastAsia="SimSun" w:cs="Arial"/>
          <w:noProof w:val="0"/>
          <w:sz w:val="24"/>
          <w:szCs w:val="24"/>
          <w:lang w:eastAsia="zh-CN"/>
        </w:rPr>
        <w:t>Czech Republic</w:t>
      </w:r>
      <w:r w:rsidR="00482723">
        <w:rPr>
          <w:rFonts w:eastAsia="SimSun" w:cs="Arial"/>
          <w:noProof w:val="0"/>
          <w:sz w:val="24"/>
          <w:szCs w:val="24"/>
          <w:lang w:eastAsia="zh-CN"/>
        </w:rPr>
        <w:t xml:space="preserve">, </w:t>
      </w:r>
      <w:r>
        <w:rPr>
          <w:rFonts w:eastAsia="SimSun" w:cs="Arial"/>
          <w:noProof w:val="0"/>
          <w:sz w:val="24"/>
          <w:szCs w:val="24"/>
          <w:lang w:eastAsia="zh-CN"/>
        </w:rPr>
        <w:t>26</w:t>
      </w:r>
      <w:r w:rsidR="00482723" w:rsidRPr="00C639BE">
        <w:rPr>
          <w:rFonts w:eastAsia="SimSun" w:cs="Arial"/>
          <w:noProof w:val="0"/>
          <w:sz w:val="24"/>
          <w:szCs w:val="24"/>
          <w:lang w:eastAsia="zh-CN"/>
        </w:rPr>
        <w:t xml:space="preserve"> – </w:t>
      </w:r>
      <w:r>
        <w:rPr>
          <w:rFonts w:eastAsia="SimSun" w:cs="Arial"/>
          <w:noProof w:val="0"/>
          <w:sz w:val="24"/>
          <w:szCs w:val="24"/>
          <w:lang w:eastAsia="zh-CN"/>
        </w:rPr>
        <w:t>30</w:t>
      </w:r>
      <w:r w:rsidR="00482723" w:rsidRPr="00C639BE">
        <w:rPr>
          <w:rFonts w:eastAsia="SimSun" w:cs="Arial"/>
          <w:noProof w:val="0"/>
          <w:sz w:val="24"/>
          <w:szCs w:val="24"/>
          <w:lang w:eastAsia="zh-CN"/>
        </w:rPr>
        <w:t xml:space="preserve"> </w:t>
      </w:r>
      <w:r>
        <w:rPr>
          <w:rFonts w:eastAsia="SimSun" w:cs="Arial"/>
          <w:noProof w:val="0"/>
          <w:sz w:val="24"/>
          <w:szCs w:val="24"/>
          <w:lang w:eastAsia="zh-CN"/>
        </w:rPr>
        <w:t>Aug</w:t>
      </w:r>
      <w:r w:rsidR="00482723">
        <w:rPr>
          <w:rFonts w:eastAsia="SimSun" w:cs="Arial"/>
          <w:noProof w:val="0"/>
          <w:sz w:val="24"/>
          <w:szCs w:val="24"/>
          <w:lang w:eastAsia="zh-CN"/>
        </w:rPr>
        <w:t xml:space="preserve"> </w:t>
      </w:r>
      <w:r w:rsidR="00482723" w:rsidRPr="00C639BE">
        <w:rPr>
          <w:rFonts w:eastAsia="SimSun" w:cs="Arial"/>
          <w:noProof w:val="0"/>
          <w:sz w:val="24"/>
          <w:szCs w:val="24"/>
          <w:lang w:eastAsia="zh-CN"/>
        </w:rPr>
        <w:t>2019</w:t>
      </w:r>
      <w:r w:rsidR="00364B41" w:rsidRPr="00C639BE">
        <w:rPr>
          <w:rFonts w:eastAsia="SimSun" w:cs="Arial"/>
          <w:noProof w:val="0"/>
          <w:sz w:val="24"/>
          <w:szCs w:val="24"/>
          <w:lang w:eastAsia="zh-CN"/>
        </w:rPr>
        <w:tab/>
      </w:r>
    </w:p>
    <w:p w14:paraId="39BE00F6" w14:textId="77777777" w:rsidR="00CD4C7B" w:rsidRPr="00C639BE" w:rsidRDefault="00CD4C7B" w:rsidP="00CD4C7B">
      <w:pPr>
        <w:pStyle w:val="Header"/>
        <w:rPr>
          <w:rFonts w:cs="Arial"/>
          <w:bCs/>
          <w:noProof w:val="0"/>
          <w:sz w:val="24"/>
        </w:rPr>
      </w:pPr>
    </w:p>
    <w:p w14:paraId="49379CFB" w14:textId="77777777" w:rsidR="00CD4C7B" w:rsidRPr="00C639BE" w:rsidRDefault="00CD4C7B" w:rsidP="00CD4C7B">
      <w:pPr>
        <w:pStyle w:val="Header"/>
        <w:rPr>
          <w:rFonts w:cs="Arial"/>
          <w:bCs/>
          <w:noProof w:val="0"/>
          <w:sz w:val="24"/>
        </w:rPr>
      </w:pPr>
    </w:p>
    <w:p w14:paraId="758E2B30" w14:textId="1DA51943" w:rsidR="00CD4C7B" w:rsidRPr="00C639BE" w:rsidRDefault="00CD4C7B">
      <w:pPr>
        <w:pStyle w:val="CRCoverPage"/>
        <w:tabs>
          <w:tab w:val="left" w:pos="1985"/>
        </w:tabs>
        <w:rPr>
          <w:rFonts w:cs="Arial"/>
          <w:b/>
          <w:bCs/>
          <w:sz w:val="24"/>
          <w:szCs w:val="24"/>
          <w:lang w:eastAsia="ja-JP"/>
        </w:rPr>
      </w:pPr>
      <w:r w:rsidRPr="00C639BE">
        <w:rPr>
          <w:rFonts w:cs="Arial"/>
          <w:b/>
          <w:bCs/>
          <w:sz w:val="24"/>
          <w:szCs w:val="24"/>
        </w:rPr>
        <w:t>Agenda item:</w:t>
      </w:r>
      <w:r w:rsidRPr="00C639BE">
        <w:rPr>
          <w:rFonts w:cs="Arial"/>
          <w:b/>
          <w:bCs/>
          <w:sz w:val="24"/>
        </w:rPr>
        <w:tab/>
      </w:r>
      <w:r w:rsidR="00237FF5" w:rsidRPr="00C639BE">
        <w:rPr>
          <w:rFonts w:cs="Arial"/>
          <w:b/>
          <w:bCs/>
          <w:sz w:val="24"/>
          <w:szCs w:val="24"/>
          <w:lang w:eastAsia="ja-JP"/>
        </w:rPr>
        <w:t>11.9.3</w:t>
      </w:r>
      <w:r w:rsidR="00BD4BD1">
        <w:rPr>
          <w:rFonts w:cs="Arial"/>
          <w:b/>
          <w:bCs/>
          <w:sz w:val="24"/>
          <w:szCs w:val="24"/>
          <w:lang w:eastAsia="ja-JP"/>
        </w:rPr>
        <w:t>.2</w:t>
      </w:r>
    </w:p>
    <w:p w14:paraId="6A1BC0C1" w14:textId="586B0968" w:rsidR="00CD4C7B" w:rsidRPr="00C639BE" w:rsidRDefault="00CD4C7B" w:rsidP="00CD4C7B">
      <w:pPr>
        <w:tabs>
          <w:tab w:val="left" w:pos="1985"/>
        </w:tabs>
        <w:ind w:left="1985" w:hanging="1985"/>
        <w:rPr>
          <w:rFonts w:ascii="Arial" w:hAnsi="Arial" w:cs="Arial"/>
          <w:b/>
          <w:bCs/>
          <w:sz w:val="24"/>
        </w:rPr>
      </w:pPr>
      <w:r w:rsidRPr="00C639BE">
        <w:rPr>
          <w:rFonts w:ascii="Arial" w:hAnsi="Arial" w:cs="Arial"/>
          <w:b/>
          <w:bCs/>
          <w:sz w:val="24"/>
        </w:rPr>
        <w:t>Source:</w:t>
      </w:r>
      <w:r w:rsidRPr="00C639BE">
        <w:rPr>
          <w:rFonts w:ascii="Arial" w:hAnsi="Arial" w:cs="Arial"/>
          <w:b/>
          <w:bCs/>
          <w:sz w:val="24"/>
        </w:rPr>
        <w:tab/>
      </w:r>
      <w:r w:rsidR="00806BCC" w:rsidRPr="00C639BE">
        <w:rPr>
          <w:rFonts w:ascii="Arial" w:hAnsi="Arial" w:cs="Arial"/>
          <w:b/>
          <w:bCs/>
          <w:sz w:val="24"/>
        </w:rPr>
        <w:t>Samsung</w:t>
      </w:r>
    </w:p>
    <w:p w14:paraId="45BE90BE" w14:textId="3B57044A" w:rsidR="00CD4C7B" w:rsidRPr="00C639BE" w:rsidRDefault="00CD4C7B" w:rsidP="00CD4C7B">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1B2A89" w:rsidRPr="001B2A89">
        <w:rPr>
          <w:rFonts w:ascii="Arial" w:hAnsi="Arial" w:cs="Arial"/>
          <w:b/>
          <w:bCs/>
          <w:sz w:val="24"/>
        </w:rPr>
        <w:t>Discussion on Multiple Triggering Condition for CHO Execution</w:t>
      </w:r>
    </w:p>
    <w:p w14:paraId="3AC3A0B1" w14:textId="7D548D69" w:rsidR="00CD4C7B" w:rsidRPr="00C639BE" w:rsidRDefault="00CD4C7B" w:rsidP="00CD4C7B">
      <w:pPr>
        <w:ind w:left="1985" w:hanging="1985"/>
        <w:rPr>
          <w:rFonts w:ascii="Arial" w:hAnsi="Arial" w:cs="Arial"/>
          <w:b/>
          <w:bCs/>
          <w:sz w:val="24"/>
        </w:rPr>
      </w:pPr>
      <w:r w:rsidRPr="00C639BE">
        <w:rPr>
          <w:rFonts w:ascii="Arial" w:hAnsi="Arial" w:cs="Arial"/>
          <w:b/>
          <w:bCs/>
          <w:sz w:val="24"/>
        </w:rPr>
        <w:t>WID/SID:</w:t>
      </w:r>
      <w:r w:rsidRPr="00C639BE">
        <w:rPr>
          <w:rFonts w:ascii="Arial" w:hAnsi="Arial" w:cs="Arial"/>
          <w:b/>
          <w:bCs/>
          <w:sz w:val="24"/>
        </w:rPr>
        <w:tab/>
      </w:r>
      <w:r w:rsidR="007B55D5" w:rsidRPr="00C639BE">
        <w:rPr>
          <w:rFonts w:ascii="Arial" w:hAnsi="Arial" w:cs="Arial"/>
          <w:b/>
          <w:bCs/>
          <w:sz w:val="24"/>
        </w:rPr>
        <w:t>NR_Mob_Enh - Release 16</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Heading1"/>
        <w:rPr>
          <w:rFonts w:cs="Arial"/>
        </w:rPr>
      </w:pPr>
      <w:r w:rsidRPr="00C639BE">
        <w:rPr>
          <w:rFonts w:cs="Arial"/>
        </w:rPr>
        <w:t>1</w:t>
      </w:r>
      <w:r w:rsidRPr="00C639BE">
        <w:rPr>
          <w:rFonts w:cs="Arial"/>
        </w:rPr>
        <w:tab/>
      </w:r>
      <w:r w:rsidR="0056573F" w:rsidRPr="00C639BE">
        <w:rPr>
          <w:rFonts w:cs="Arial"/>
        </w:rPr>
        <w:t>Introduction</w:t>
      </w:r>
    </w:p>
    <w:p w14:paraId="0C220FBC" w14:textId="5C53C25B" w:rsidR="001070D6" w:rsidRPr="00C639BE" w:rsidRDefault="00B91A33" w:rsidP="00CD4C7B">
      <w:pPr>
        <w:rPr>
          <w:rFonts w:ascii="Arial" w:hAnsi="Arial" w:cs="Arial"/>
        </w:rPr>
      </w:pPr>
      <w:r w:rsidRPr="00C639BE">
        <w:rPr>
          <w:rFonts w:ascii="Arial" w:hAnsi="Arial" w:cs="Arial"/>
        </w:rPr>
        <w:t>RAN#80 plenary approved a Work Item (WI) titled “</w:t>
      </w:r>
      <w:r w:rsidR="00461F90" w:rsidRPr="00C639BE">
        <w:rPr>
          <w:rFonts w:ascii="Arial" w:hAnsi="Arial" w:cs="Arial"/>
        </w:rPr>
        <w:t>NR mobility enhancements</w:t>
      </w:r>
      <w:r w:rsidRPr="00C639BE">
        <w:rPr>
          <w:rFonts w:ascii="Arial" w:hAnsi="Arial" w:cs="Arial"/>
        </w:rPr>
        <w:t>”</w:t>
      </w:r>
      <w:r w:rsidR="00197620" w:rsidRPr="00C639BE">
        <w:rPr>
          <w:rFonts w:ascii="Arial" w:hAnsi="Arial" w:cs="Arial"/>
        </w:rPr>
        <w:t xml:space="preserve"> to </w:t>
      </w:r>
      <w:r w:rsidR="008E4E9B" w:rsidRPr="00C639BE">
        <w:rPr>
          <w:rFonts w:ascii="Arial" w:hAnsi="Arial" w:cs="Arial"/>
        </w:rPr>
        <w:t xml:space="preserve">enhance the basic </w:t>
      </w:r>
      <w:r w:rsidR="00197620" w:rsidRPr="00C639BE">
        <w:rPr>
          <w:rFonts w:ascii="Arial" w:hAnsi="Arial" w:cs="Arial"/>
        </w:rPr>
        <w:t xml:space="preserve">mobility </w:t>
      </w:r>
      <w:r w:rsidR="008E4E9B" w:rsidRPr="00C639BE">
        <w:rPr>
          <w:rFonts w:ascii="Arial" w:hAnsi="Arial" w:cs="Arial"/>
        </w:rPr>
        <w:t xml:space="preserve">functions </w:t>
      </w:r>
      <w:r w:rsidR="00806BCC" w:rsidRPr="00C639BE">
        <w:rPr>
          <w:rFonts w:ascii="Arial" w:hAnsi="Arial" w:cs="Arial"/>
        </w:rPr>
        <w:t>available</w:t>
      </w:r>
      <w:r w:rsidR="008E4E9B" w:rsidRPr="00C639BE">
        <w:rPr>
          <w:rFonts w:ascii="Arial" w:hAnsi="Arial" w:cs="Arial"/>
        </w:rPr>
        <w:t xml:space="preserve"> in NR </w:t>
      </w:r>
      <w:r w:rsidR="00237FF5" w:rsidRPr="00C639BE">
        <w:rPr>
          <w:rFonts w:ascii="Arial" w:hAnsi="Arial" w:cs="Arial"/>
        </w:rPr>
        <w:t>R</w:t>
      </w:r>
      <w:r w:rsidR="008E4E9B" w:rsidRPr="00C639BE">
        <w:rPr>
          <w:rFonts w:ascii="Arial" w:hAnsi="Arial" w:cs="Arial"/>
        </w:rPr>
        <w:t>elease</w:t>
      </w:r>
      <w:r w:rsidR="00237FF5" w:rsidRPr="00C639BE">
        <w:rPr>
          <w:rFonts w:ascii="Arial" w:hAnsi="Arial" w:cs="Arial"/>
        </w:rPr>
        <w:t xml:space="preserve"> </w:t>
      </w:r>
      <w:r w:rsidR="008E4E9B" w:rsidRPr="00C639BE">
        <w:rPr>
          <w:rFonts w:ascii="Arial" w:hAnsi="Arial" w:cs="Arial"/>
        </w:rPr>
        <w:t>15</w:t>
      </w:r>
      <w:r w:rsidR="00806BCC" w:rsidRPr="00C639BE">
        <w:rPr>
          <w:rFonts w:ascii="Arial" w:hAnsi="Arial" w:cs="Arial"/>
        </w:rPr>
        <w:t>[1]</w:t>
      </w:r>
      <w:r w:rsidR="00197620" w:rsidRPr="00C639BE">
        <w:rPr>
          <w:rFonts w:ascii="Arial" w:hAnsi="Arial" w:cs="Arial"/>
        </w:rPr>
        <w:t xml:space="preserve">. </w:t>
      </w:r>
      <w:r w:rsidR="00B7777B">
        <w:rPr>
          <w:rFonts w:ascii="Arial" w:hAnsi="Arial" w:cs="Arial"/>
        </w:rPr>
        <w:t>The following agreements were made during RAN2 #106 meeting:</w:t>
      </w:r>
    </w:p>
    <w:tbl>
      <w:tblPr>
        <w:tblStyle w:val="TableGrid"/>
        <w:tblW w:w="0" w:type="auto"/>
        <w:tblLook w:val="04A0" w:firstRow="1" w:lastRow="0" w:firstColumn="1" w:lastColumn="0" w:noHBand="0" w:noVBand="1"/>
      </w:tblPr>
      <w:tblGrid>
        <w:gridCol w:w="9631"/>
      </w:tblGrid>
      <w:tr w:rsidR="00B7777B" w14:paraId="076B20C8" w14:textId="77777777" w:rsidTr="00B7777B">
        <w:tc>
          <w:tcPr>
            <w:tcW w:w="9631" w:type="dxa"/>
          </w:tcPr>
          <w:p w14:paraId="33D54803" w14:textId="053D01D2" w:rsidR="00B7777B" w:rsidRDefault="00B7777B" w:rsidP="00B7777B">
            <w:pPr>
              <w:pStyle w:val="ListParagraph"/>
              <w:numPr>
                <w:ilvl w:val="0"/>
                <w:numId w:val="10"/>
              </w:numPr>
              <w:spacing w:line="360" w:lineRule="auto"/>
              <w:rPr>
                <w:rFonts w:ascii="Arial" w:hAnsi="Arial" w:cs="Arial"/>
              </w:rPr>
            </w:pPr>
            <w:r w:rsidRPr="00B7777B">
              <w:rPr>
                <w:rFonts w:ascii="Arial" w:hAnsi="Arial" w:cs="Arial"/>
              </w:rPr>
              <w:t>As a baseline CHO can be triggered based on a condition consisting of a single event, single RS type, sing</w:t>
            </w:r>
            <w:r>
              <w:rPr>
                <w:rFonts w:ascii="Arial" w:hAnsi="Arial" w:cs="Arial"/>
              </w:rPr>
              <w:t>l</w:t>
            </w:r>
            <w:r w:rsidRPr="00B7777B">
              <w:rPr>
                <w:rFonts w:ascii="Arial" w:hAnsi="Arial" w:cs="Arial"/>
              </w:rPr>
              <w:t>e quantity.</w:t>
            </w:r>
          </w:p>
          <w:p w14:paraId="18386D24" w14:textId="77777777" w:rsidR="00B7777B" w:rsidRDefault="00B7777B" w:rsidP="00B7777B">
            <w:pPr>
              <w:pStyle w:val="ListParagraph"/>
              <w:numPr>
                <w:ilvl w:val="1"/>
                <w:numId w:val="10"/>
              </w:numPr>
              <w:spacing w:line="360" w:lineRule="auto"/>
              <w:rPr>
                <w:rFonts w:ascii="Arial" w:hAnsi="Arial" w:cs="Arial"/>
              </w:rPr>
            </w:pPr>
            <w:r w:rsidRPr="00B7777B">
              <w:rPr>
                <w:rFonts w:ascii="Arial" w:hAnsi="Arial" w:cs="Arial"/>
              </w:rPr>
              <w:t>The single trigger quantity can be configured to be RSRP, RSRQ or RS-SINR</w:t>
            </w:r>
          </w:p>
          <w:p w14:paraId="47BFAD95" w14:textId="77777777" w:rsidR="00B7777B" w:rsidRDefault="00B7777B" w:rsidP="00B7777B">
            <w:pPr>
              <w:pStyle w:val="ListParagraph"/>
              <w:numPr>
                <w:ilvl w:val="1"/>
                <w:numId w:val="10"/>
              </w:numPr>
              <w:spacing w:line="360" w:lineRule="auto"/>
              <w:rPr>
                <w:rFonts w:ascii="Arial" w:hAnsi="Arial" w:cs="Arial"/>
              </w:rPr>
            </w:pPr>
            <w:r w:rsidRPr="00B7777B">
              <w:rPr>
                <w:rFonts w:ascii="Arial" w:hAnsi="Arial" w:cs="Arial"/>
              </w:rPr>
              <w:t>The single RS type can be configured to be SSB or CSI-RS</w:t>
            </w:r>
          </w:p>
          <w:p w14:paraId="2D3FE619" w14:textId="2C8BAB72" w:rsidR="00B7777B" w:rsidRPr="00B7777B" w:rsidRDefault="00B7777B" w:rsidP="00B7777B">
            <w:pPr>
              <w:pStyle w:val="ListParagraph"/>
              <w:numPr>
                <w:ilvl w:val="1"/>
                <w:numId w:val="10"/>
              </w:numPr>
              <w:spacing w:line="360" w:lineRule="auto"/>
              <w:rPr>
                <w:rFonts w:ascii="Arial" w:hAnsi="Arial" w:cs="Arial"/>
              </w:rPr>
            </w:pPr>
            <w:r w:rsidRPr="00B7777B">
              <w:rPr>
                <w:rFonts w:ascii="Arial" w:hAnsi="Arial" w:cs="Arial"/>
              </w:rPr>
              <w:t>FFS Whether multiple triggering conditions are required.</w:t>
            </w:r>
          </w:p>
        </w:tc>
      </w:tr>
    </w:tbl>
    <w:p w14:paraId="0D9E16E8" w14:textId="77777777" w:rsidR="00B7777B" w:rsidRDefault="00B7777B" w:rsidP="00C1497E">
      <w:pPr>
        <w:rPr>
          <w:rFonts w:ascii="Arial" w:hAnsi="Arial" w:cs="Arial"/>
          <w:lang w:val="en-US"/>
        </w:rPr>
      </w:pPr>
    </w:p>
    <w:p w14:paraId="0BBDFC0A" w14:textId="42C4A942" w:rsidR="00CD4C7B" w:rsidRPr="00C639BE" w:rsidRDefault="00C639BE" w:rsidP="00C1497E">
      <w:pPr>
        <w:rPr>
          <w:rFonts w:ascii="Arial" w:hAnsi="Arial" w:cs="Arial"/>
        </w:rPr>
      </w:pPr>
      <w:r w:rsidRPr="00C639BE">
        <w:rPr>
          <w:rFonts w:ascii="Arial" w:hAnsi="Arial" w:cs="Arial"/>
          <w:lang w:val="en-US"/>
        </w:rPr>
        <w:t xml:space="preserve">In this paper, we </w:t>
      </w:r>
      <w:r w:rsidR="003E51FE">
        <w:rPr>
          <w:rFonts w:ascii="Arial" w:hAnsi="Arial" w:cs="Arial"/>
          <w:lang w:val="en-US"/>
        </w:rPr>
        <w:t>take an objective look</w:t>
      </w:r>
      <w:r w:rsidR="00C015B5">
        <w:rPr>
          <w:rFonts w:ascii="Arial" w:hAnsi="Arial" w:cs="Arial"/>
          <w:lang w:val="en-US"/>
        </w:rPr>
        <w:t xml:space="preserve"> into the </w:t>
      </w:r>
      <w:r w:rsidR="003E51FE">
        <w:rPr>
          <w:rFonts w:ascii="Arial" w:hAnsi="Arial" w:cs="Arial"/>
          <w:lang w:val="en-US"/>
        </w:rPr>
        <w:t>need for multiple triggering conditions that decide the initiation of conditional handover execution</w:t>
      </w:r>
      <w:r w:rsidRPr="00C639BE">
        <w:rPr>
          <w:rFonts w:ascii="Arial" w:hAnsi="Arial" w:cs="Arial"/>
          <w:lang w:val="en-US"/>
        </w:rPr>
        <w:t>.</w:t>
      </w:r>
    </w:p>
    <w:p w14:paraId="127ACA6D" w14:textId="29DF85D9" w:rsidR="00CD4C7B" w:rsidRPr="00C639BE" w:rsidRDefault="00CD4C7B" w:rsidP="00CD4C7B">
      <w:pPr>
        <w:pStyle w:val="Heading1"/>
        <w:rPr>
          <w:rFonts w:cs="Arial"/>
        </w:rPr>
      </w:pPr>
      <w:r w:rsidRPr="00C639BE">
        <w:rPr>
          <w:rFonts w:cs="Arial"/>
        </w:rPr>
        <w:t>2</w:t>
      </w:r>
      <w:r w:rsidRPr="00C639BE">
        <w:rPr>
          <w:rFonts w:cs="Arial"/>
        </w:rPr>
        <w:tab/>
      </w:r>
      <w:r w:rsidR="00C639BE">
        <w:rPr>
          <w:rFonts w:cs="Arial"/>
        </w:rPr>
        <w:t>Discussion</w:t>
      </w:r>
    </w:p>
    <w:p w14:paraId="7B115D25" w14:textId="08C4683B" w:rsidR="00C639BE" w:rsidRDefault="00F2435A" w:rsidP="00311E97">
      <w:pPr>
        <w:jc w:val="both"/>
        <w:rPr>
          <w:rFonts w:ascii="Arial" w:hAnsi="Arial" w:cs="Arial"/>
        </w:rPr>
      </w:pPr>
      <w:r w:rsidRPr="00F2435A">
        <w:rPr>
          <w:rFonts w:ascii="Arial" w:hAnsi="Arial" w:cs="Arial"/>
        </w:rPr>
        <w:t xml:space="preserve">Due to lack of time in Release 15 time frame, only basic handover is introduced in NR as part of Release 15 specification.  The basic handover is mainly based on LTE handover mechanism in which network controls UE mobility based on UE measurement reporting. In the basic handover, source gNB triggers handover by sending HO request to target gNB and after receiving ACK from the target gNB, the source gNB initiates handover by sending HO command (reconfigurationWithSync) with target cell configuration. The UE sends PRACH to the target cell after RRC reconfiguration is applied with target cell configuration. However, instances where the signal degrades quickly due to which the UE fails to </w:t>
      </w:r>
      <w:r w:rsidR="002D6456" w:rsidRPr="00F2435A">
        <w:rPr>
          <w:rFonts w:ascii="Arial" w:hAnsi="Arial" w:cs="Arial"/>
        </w:rPr>
        <w:t>receive</w:t>
      </w:r>
      <w:r w:rsidRPr="00F2435A">
        <w:rPr>
          <w:rFonts w:ascii="Arial" w:hAnsi="Arial" w:cs="Arial"/>
        </w:rPr>
        <w:t xml:space="preserve"> the HO command from the network are also not uncommon. NR also allows operation at FR2 or high frequencies where the signal quality change and degradation are more adverse than that of FR1 or lower frequency ranges. When the UE moves or rotates, the UE can experience very fast signal degradation. A UE in NR FR2 also experiences a very different channel condition between LoS and non LoS in NR and the path</w:t>
      </w:r>
      <w:r w:rsidR="002D6456">
        <w:rPr>
          <w:rFonts w:ascii="Arial" w:hAnsi="Arial" w:cs="Arial"/>
        </w:rPr>
        <w:t>-</w:t>
      </w:r>
      <w:r w:rsidRPr="00F2435A">
        <w:rPr>
          <w:rFonts w:ascii="Arial" w:hAnsi="Arial" w:cs="Arial"/>
        </w:rPr>
        <w:t>loss/ signal strength can be largely different in beams or between LOS and non-LOS. It may result in higher handover failure and large ping</w:t>
      </w:r>
      <w:r w:rsidR="002D6456">
        <w:rPr>
          <w:rFonts w:ascii="Arial" w:hAnsi="Arial" w:cs="Arial"/>
        </w:rPr>
        <w:t>-</w:t>
      </w:r>
      <w:r w:rsidRPr="00F2435A">
        <w:rPr>
          <w:rFonts w:ascii="Arial" w:hAnsi="Arial" w:cs="Arial"/>
        </w:rPr>
        <w:t>pong rate. Sighting these challenges in handover, a conditional handover mechanism is agreed to be introduced as part of release 16 mobility enhancements.</w:t>
      </w:r>
      <w:r w:rsidR="005A60CA">
        <w:rPr>
          <w:rFonts w:ascii="Arial" w:hAnsi="Arial" w:cs="Arial"/>
        </w:rPr>
        <w:t xml:space="preserve"> </w:t>
      </w:r>
      <w:r w:rsidR="00F64CCD">
        <w:rPr>
          <w:rFonts w:ascii="Arial" w:hAnsi="Arial" w:cs="Arial"/>
        </w:rPr>
        <w:t xml:space="preserve">In Conditional handover, the CHO candidate cell configuration is received first, along with condition based on which CHO execution to the candidate cell can be performed. </w:t>
      </w:r>
      <w:r w:rsidR="008D2475">
        <w:rPr>
          <w:rFonts w:ascii="Arial" w:hAnsi="Arial" w:cs="Arial"/>
        </w:rPr>
        <w:t xml:space="preserve">It has also been agreed that the triggering condition is based on existing A3 or A5 like measurements. </w:t>
      </w:r>
    </w:p>
    <w:p w14:paraId="712919AA" w14:textId="14541685" w:rsidR="005A60CA" w:rsidRDefault="005A60CA" w:rsidP="00C52E75">
      <w:pPr>
        <w:tabs>
          <w:tab w:val="left" w:pos="-180"/>
          <w:tab w:val="left" w:pos="0"/>
          <w:tab w:val="left" w:pos="720"/>
        </w:tabs>
        <w:spacing w:before="120" w:after="120"/>
        <w:jc w:val="both"/>
        <w:rPr>
          <w:rFonts w:ascii="Arial" w:hAnsi="Arial" w:cs="Arial"/>
        </w:rPr>
      </w:pPr>
      <w:r>
        <w:rPr>
          <w:rFonts w:ascii="Arial" w:hAnsi="Arial" w:cs="Arial"/>
        </w:rPr>
        <w:t xml:space="preserve">In existing handover mechanisms, the handover decisions are controlled by the serving node. </w:t>
      </w:r>
      <w:r w:rsidRPr="005A60CA">
        <w:rPr>
          <w:rFonts w:ascii="Arial" w:hAnsi="Arial" w:cs="Arial"/>
        </w:rPr>
        <w:t>In order to provision a reliable handover to neighbour cell, the source gNB should be aware that a neighbour cell can provide better service to the UE than the current serving cell. Events A3 and A5 provide both the serving cell and neighbour cell signal conditions to the network. Therefore, the source gNB is in a position to understand if the neighbour cell can provide better service. However, in some cases, more than one events are needed for triggering handover reliably.</w:t>
      </w:r>
      <w:r>
        <w:rPr>
          <w:rFonts w:ascii="Arial" w:hAnsi="Arial" w:cs="Arial"/>
        </w:rPr>
        <w:t xml:space="preserve"> In practical deployments, </w:t>
      </w:r>
      <w:r w:rsidRPr="005A60CA">
        <w:rPr>
          <w:rFonts w:ascii="Arial" w:hAnsi="Arial" w:cs="Arial"/>
        </w:rPr>
        <w:t xml:space="preserve">the network configures several measurement events to the UE. It is not necessary that the network prepares a target cell based on each relevant measurement report from the UE. The network may take decision of providing handover command to the UE based on </w:t>
      </w:r>
      <w:r w:rsidRPr="005A60CA">
        <w:rPr>
          <w:rFonts w:ascii="Arial" w:hAnsi="Arial" w:cs="Arial"/>
        </w:rPr>
        <w:lastRenderedPageBreak/>
        <w:t xml:space="preserve">multiple measurement report or a sequence of measurement report from the UE. It is also possible for the source node to be aware of the load condition of the </w:t>
      </w:r>
      <w:r w:rsidR="00C52E75" w:rsidRPr="005A60CA">
        <w:rPr>
          <w:rFonts w:ascii="Arial" w:hAnsi="Arial" w:cs="Arial"/>
        </w:rPr>
        <w:t>neighbour</w:t>
      </w:r>
      <w:r w:rsidRPr="005A60CA">
        <w:rPr>
          <w:rFonts w:ascii="Arial" w:hAnsi="Arial" w:cs="Arial"/>
        </w:rPr>
        <w:t xml:space="preserve">/ target node. Target cell may be prepared for handover only if load conditions are within acceptable levels even if measurement results indicate that the </w:t>
      </w:r>
      <w:r w:rsidR="00C52E75" w:rsidRPr="005A60CA">
        <w:rPr>
          <w:rFonts w:ascii="Arial" w:hAnsi="Arial" w:cs="Arial"/>
        </w:rPr>
        <w:t>neighbour</w:t>
      </w:r>
      <w:r w:rsidRPr="005A60CA">
        <w:rPr>
          <w:rFonts w:ascii="Arial" w:hAnsi="Arial" w:cs="Arial"/>
        </w:rPr>
        <w:t xml:space="preserve"> cell is under better signal conditions. As a consequence, sometimes handover is not provided to the best cell reported to the network in measurement report.</w:t>
      </w:r>
    </w:p>
    <w:p w14:paraId="4D37274B" w14:textId="2F45458A" w:rsidR="00C52E75" w:rsidRPr="00363DB3" w:rsidRDefault="00C52E75" w:rsidP="00C52E75">
      <w:pPr>
        <w:tabs>
          <w:tab w:val="left" w:pos="-180"/>
          <w:tab w:val="left" w:pos="0"/>
          <w:tab w:val="left" w:pos="720"/>
        </w:tabs>
        <w:spacing w:before="120" w:after="120"/>
        <w:jc w:val="both"/>
        <w:rPr>
          <w:rFonts w:ascii="Arial" w:hAnsi="Arial" w:cs="Arial"/>
          <w:b/>
        </w:rPr>
      </w:pPr>
      <w:r w:rsidRPr="00363DB3">
        <w:rPr>
          <w:rFonts w:ascii="Arial" w:hAnsi="Arial" w:cs="Arial"/>
          <w:b/>
        </w:rPr>
        <w:t xml:space="preserve">Observation 1: In existing handover mechanism, the handover decision is not made solely based on a single measurement report received from UE. </w:t>
      </w:r>
    </w:p>
    <w:p w14:paraId="0F897E9A" w14:textId="4E1D500F" w:rsidR="00C52E75" w:rsidRPr="00083CB8" w:rsidRDefault="00083CB8" w:rsidP="00C52E75">
      <w:pPr>
        <w:tabs>
          <w:tab w:val="left" w:pos="-180"/>
          <w:tab w:val="left" w:pos="0"/>
          <w:tab w:val="left" w:pos="720"/>
        </w:tabs>
        <w:spacing w:before="120" w:after="120"/>
        <w:jc w:val="both"/>
        <w:rPr>
          <w:rFonts w:ascii="Arial" w:hAnsi="Arial" w:cs="Arial"/>
        </w:rPr>
      </w:pPr>
      <w:r w:rsidRPr="00083CB8">
        <w:rPr>
          <w:rFonts w:ascii="Arial" w:hAnsi="Arial" w:cs="Arial"/>
        </w:rPr>
        <w:t>I</w:t>
      </w:r>
      <w:r w:rsidR="00747E9B" w:rsidRPr="00083CB8">
        <w:rPr>
          <w:rFonts w:ascii="Arial" w:hAnsi="Arial" w:cs="Arial"/>
        </w:rPr>
        <w:t>n conditional handover, the condition for executing CHO to a candidate cell is configured to the UE and the UE executes handover based on this condition. Therefore, there is no intelligence at the UE</w:t>
      </w:r>
      <w:r w:rsidR="00465B4C">
        <w:rPr>
          <w:rFonts w:ascii="Arial" w:hAnsi="Arial" w:cs="Arial"/>
        </w:rPr>
        <w:t>,</w:t>
      </w:r>
      <w:r w:rsidR="00747E9B" w:rsidRPr="00083CB8">
        <w:rPr>
          <w:rFonts w:ascii="Arial" w:hAnsi="Arial" w:cs="Arial"/>
        </w:rPr>
        <w:t xml:space="preserve"> like that of network in traditional handover, in deciding handover of the UE to a neighbour target cell. In traditional handover, the serving cell provides handover command to the UE if the neighbour signal conditions are good, and the load of the neighbour cell is acceptable to serve an additional UE. However, in conditional handover, the condition to trigger CHO execution is provided much earlier in time. For instance, it is possible that during this time, the target cell load was low enough to allow for more UEs to access the cell. However, the actual CHO execution happens at a later time and by then the load on the target cell may have changed. However, the UE still executes handover to the target cell but </w:t>
      </w:r>
      <w:r w:rsidR="00465B4C">
        <w:rPr>
          <w:rFonts w:ascii="Arial" w:hAnsi="Arial" w:cs="Arial"/>
        </w:rPr>
        <w:t>t</w:t>
      </w:r>
      <w:r w:rsidR="00747E9B" w:rsidRPr="00083CB8">
        <w:rPr>
          <w:rFonts w:ascii="Arial" w:hAnsi="Arial" w:cs="Arial"/>
        </w:rPr>
        <w:t xml:space="preserve">he service provided on that target cell may be weaker than that on the source cell. </w:t>
      </w:r>
    </w:p>
    <w:p w14:paraId="2B56AE01" w14:textId="76C8F31E" w:rsidR="00747E9B" w:rsidRPr="00083CB8" w:rsidRDefault="00747E9B" w:rsidP="00C52E75">
      <w:pPr>
        <w:tabs>
          <w:tab w:val="left" w:pos="-180"/>
          <w:tab w:val="left" w:pos="0"/>
          <w:tab w:val="left" w:pos="720"/>
        </w:tabs>
        <w:spacing w:before="120" w:after="120"/>
        <w:jc w:val="both"/>
        <w:rPr>
          <w:rFonts w:ascii="Arial" w:hAnsi="Arial" w:cs="Arial"/>
        </w:rPr>
      </w:pPr>
      <w:r w:rsidRPr="00083CB8">
        <w:rPr>
          <w:rFonts w:ascii="Arial" w:hAnsi="Arial" w:cs="Arial"/>
        </w:rPr>
        <w:t xml:space="preserve">To overcome this, it is necessary to instil the UE with some intelligence in decision making towards CHO execution. This can be done by introducing the requirement for satisfying multiple reporting configurations by the UE. For example, A UE may be configured with event A3 with trigger quantity set to RSRP. When A3 is successfully satisfied by the UE, it is aware that the signal strength of the neighbour cell </w:t>
      </w:r>
      <w:r w:rsidR="00465B4C">
        <w:rPr>
          <w:rFonts w:ascii="Arial" w:hAnsi="Arial" w:cs="Arial"/>
        </w:rPr>
        <w:t>is better than the serving cell and is</w:t>
      </w:r>
      <w:r w:rsidRPr="00083CB8">
        <w:rPr>
          <w:rFonts w:ascii="Arial" w:hAnsi="Arial" w:cs="Arial"/>
        </w:rPr>
        <w:t xml:space="preserve"> suitable to serve the UE</w:t>
      </w:r>
      <w:r w:rsidR="00465B4C">
        <w:rPr>
          <w:rFonts w:ascii="Arial" w:hAnsi="Arial" w:cs="Arial"/>
        </w:rPr>
        <w:t xml:space="preserve"> after handover</w:t>
      </w:r>
      <w:r w:rsidRPr="00083CB8">
        <w:rPr>
          <w:rFonts w:ascii="Arial" w:hAnsi="Arial" w:cs="Arial"/>
        </w:rPr>
        <w:t xml:space="preserve">. However, it is not aware of the load and quality of the neighbour cell. To make the UE capable of making an intelligent </w:t>
      </w:r>
      <w:r w:rsidR="00DC01F3">
        <w:rPr>
          <w:rFonts w:ascii="Arial" w:hAnsi="Arial" w:cs="Arial"/>
        </w:rPr>
        <w:t xml:space="preserve">and reliable </w:t>
      </w:r>
      <w:r w:rsidRPr="00083CB8">
        <w:rPr>
          <w:rFonts w:ascii="Arial" w:hAnsi="Arial" w:cs="Arial"/>
        </w:rPr>
        <w:t xml:space="preserve">evaluation of the target cell, the network can configure event A4 with trigger quantity set to RSRQ. RSRQ measurement provides an indication of the load on the target cell. Together, RSRP based A3 indicates that the target cell signal </w:t>
      </w:r>
      <w:r w:rsidR="00DC01F3">
        <w:rPr>
          <w:rFonts w:ascii="Arial" w:hAnsi="Arial" w:cs="Arial"/>
        </w:rPr>
        <w:t>strength is</w:t>
      </w:r>
      <w:r w:rsidRPr="00083CB8">
        <w:rPr>
          <w:rFonts w:ascii="Arial" w:hAnsi="Arial" w:cs="Arial"/>
        </w:rPr>
        <w:t xml:space="preserve"> good and RSRQ based A4 indicates the load on the target cell is acceptable</w:t>
      </w:r>
      <w:r w:rsidR="00CF7B63">
        <w:rPr>
          <w:rFonts w:ascii="Arial" w:hAnsi="Arial" w:cs="Arial"/>
        </w:rPr>
        <w:t>. Therefore, the handover is now</w:t>
      </w:r>
      <w:r w:rsidRPr="00083CB8">
        <w:rPr>
          <w:rFonts w:ascii="Arial" w:hAnsi="Arial" w:cs="Arial"/>
        </w:rPr>
        <w:t xml:space="preserve"> made more reliable than the case of a CHO execution based on single condition/ trigger.</w:t>
      </w:r>
      <w:r w:rsidR="005335F5">
        <w:rPr>
          <w:rFonts w:ascii="Arial" w:hAnsi="Arial" w:cs="Arial"/>
        </w:rPr>
        <w:t xml:space="preserve"> </w:t>
      </w:r>
    </w:p>
    <w:p w14:paraId="1F8505F6" w14:textId="5C112E3B" w:rsidR="00747E9B" w:rsidRPr="00F23C07" w:rsidRDefault="00241147" w:rsidP="00C52E75">
      <w:pPr>
        <w:tabs>
          <w:tab w:val="left" w:pos="-180"/>
          <w:tab w:val="left" w:pos="0"/>
          <w:tab w:val="left" w:pos="720"/>
        </w:tabs>
        <w:spacing w:before="120" w:after="120"/>
        <w:jc w:val="both"/>
        <w:rPr>
          <w:rFonts w:ascii="Arial" w:hAnsi="Arial" w:cs="Arial"/>
          <w:b/>
        </w:rPr>
      </w:pPr>
      <w:r w:rsidRPr="00F23C07">
        <w:rPr>
          <w:rFonts w:ascii="Arial" w:hAnsi="Arial" w:cs="Arial"/>
          <w:b/>
        </w:rPr>
        <w:t xml:space="preserve">Proposal 1: CHO execution can be triggered based on multiple trigger conditions. </w:t>
      </w:r>
    </w:p>
    <w:p w14:paraId="1CA46BC0" w14:textId="1DEAD56B" w:rsidR="00B51AC0" w:rsidRDefault="00B51AC0" w:rsidP="00AC4CA9">
      <w:pPr>
        <w:tabs>
          <w:tab w:val="left" w:pos="-180"/>
          <w:tab w:val="left" w:pos="0"/>
          <w:tab w:val="left" w:pos="720"/>
        </w:tabs>
        <w:spacing w:before="120" w:after="120"/>
        <w:jc w:val="both"/>
        <w:rPr>
          <w:rFonts w:ascii="Arial" w:hAnsi="Arial" w:cs="Arial"/>
        </w:rPr>
      </w:pPr>
      <w:r>
        <w:rPr>
          <w:rFonts w:ascii="Arial" w:hAnsi="Arial" w:cs="Arial"/>
        </w:rPr>
        <w:t>UE reports Event A4 only when a neighbour cell signal condition is above a configured threshold.  Source gNB on receiving Event A4 may reconfigure/ add/ remove other measurement ids, for example source gNB configures Event A3/A5 for the neighbour cell (frequency) reported in A4, to understand the neighbour cell signal conditions in comparison the serving cell signal conditions. Alternatively, the source gNB may provide</w:t>
      </w:r>
      <w:r w:rsidR="007E06BF">
        <w:rPr>
          <w:rFonts w:ascii="Arial" w:hAnsi="Arial" w:cs="Arial"/>
        </w:rPr>
        <w:t xml:space="preserve"> the UE,</w:t>
      </w:r>
      <w:r>
        <w:rPr>
          <w:rFonts w:ascii="Arial" w:hAnsi="Arial" w:cs="Arial"/>
        </w:rPr>
        <w:t xml:space="preserve"> handover command to the neighbour cell reported in Event A4. Although the handover to the target cell may be successful due to good signal condition of the target cell, it does not ensure that the target cell is better than the source cell. It is possible that signal condition and QoS provided by the target cell are poor as compared to source cell. Although Event A4 can be used to trigger handover, Event A4 alone cannot be used to perform a reliable handover.</w:t>
      </w:r>
    </w:p>
    <w:p w14:paraId="402EFF04" w14:textId="12676961" w:rsidR="00B51AC0" w:rsidRPr="0052398B" w:rsidRDefault="00B51AC0" w:rsidP="00B51AC0">
      <w:pPr>
        <w:tabs>
          <w:tab w:val="left" w:pos="-180"/>
          <w:tab w:val="left" w:pos="0"/>
          <w:tab w:val="left" w:pos="720"/>
        </w:tabs>
        <w:spacing w:before="120" w:after="120"/>
        <w:jc w:val="both"/>
        <w:rPr>
          <w:rFonts w:ascii="Arial" w:hAnsi="Arial" w:cs="Arial"/>
          <w:b/>
        </w:rPr>
      </w:pPr>
      <w:r w:rsidRPr="0052398B">
        <w:rPr>
          <w:rFonts w:ascii="Arial" w:hAnsi="Arial" w:cs="Arial"/>
          <w:b/>
        </w:rPr>
        <w:t>Observation 2: Event A4 like CHO execution condition may be useful to be supported in addition to only A3/A5</w:t>
      </w:r>
      <w:r w:rsidRPr="00AC4CA9">
        <w:rPr>
          <w:rFonts w:ascii="Arial" w:hAnsi="Arial" w:cs="Arial"/>
        </w:rPr>
        <w:t xml:space="preserve"> </w:t>
      </w:r>
      <w:r w:rsidRPr="0052398B">
        <w:rPr>
          <w:rFonts w:ascii="Arial" w:hAnsi="Arial" w:cs="Arial"/>
          <w:b/>
        </w:rPr>
        <w:t>like execution conditions. However, only having event A4 like CHO execution condition is not very reliable.</w:t>
      </w:r>
    </w:p>
    <w:p w14:paraId="24425A73" w14:textId="269CB21E" w:rsidR="00B51AC0" w:rsidRPr="0052398B" w:rsidRDefault="00B51AC0" w:rsidP="00B51AC0">
      <w:pPr>
        <w:tabs>
          <w:tab w:val="left" w:pos="-180"/>
          <w:tab w:val="left" w:pos="0"/>
          <w:tab w:val="left" w:pos="720"/>
        </w:tabs>
        <w:spacing w:before="120" w:after="120"/>
        <w:jc w:val="both"/>
        <w:rPr>
          <w:rFonts w:ascii="Arial" w:hAnsi="Arial" w:cs="Arial"/>
          <w:b/>
        </w:rPr>
      </w:pPr>
      <w:r w:rsidRPr="0052398B">
        <w:rPr>
          <w:rFonts w:ascii="Arial" w:hAnsi="Arial" w:cs="Arial"/>
          <w:b/>
        </w:rPr>
        <w:t xml:space="preserve">Proposal 2: </w:t>
      </w:r>
      <w:r w:rsidR="00AC4CA9" w:rsidRPr="0052398B">
        <w:rPr>
          <w:rFonts w:ascii="Arial" w:hAnsi="Arial" w:cs="Arial"/>
          <w:b/>
        </w:rPr>
        <w:t>Event A4 like CHO execution condition can be configured only if multiple trigger conditions are configured.</w:t>
      </w:r>
    </w:p>
    <w:p w14:paraId="2E622AFA" w14:textId="2D7F5762" w:rsidR="00CF7B63" w:rsidRPr="00CF7B63" w:rsidRDefault="00CF7B63" w:rsidP="00CF7B63">
      <w:pPr>
        <w:tabs>
          <w:tab w:val="left" w:pos="-180"/>
          <w:tab w:val="left" w:pos="0"/>
          <w:tab w:val="left" w:pos="720"/>
        </w:tabs>
        <w:spacing w:after="0"/>
        <w:jc w:val="both"/>
        <w:rPr>
          <w:rFonts w:ascii="Arial" w:hAnsi="Arial" w:cs="Arial"/>
        </w:rPr>
      </w:pPr>
      <w:r w:rsidRPr="00CF7B63">
        <w:rPr>
          <w:rFonts w:ascii="Arial" w:hAnsi="Arial" w:cs="Arial"/>
        </w:rPr>
        <w:t>In basic handover, the source cell has several options to decide on handover (based on different reporting configurations and</w:t>
      </w:r>
      <w:r>
        <w:rPr>
          <w:rFonts w:ascii="Arial" w:hAnsi="Arial" w:cs="Arial"/>
        </w:rPr>
        <w:t xml:space="preserve"> different trigger quantities), of which some are listed below:</w:t>
      </w:r>
    </w:p>
    <w:p w14:paraId="388E50A9" w14:textId="6B12F5D5" w:rsidR="00CF7B63" w:rsidRDefault="00CF7B63" w:rsidP="003C22DB">
      <w:pPr>
        <w:pStyle w:val="ListParagraph"/>
        <w:numPr>
          <w:ilvl w:val="0"/>
          <w:numId w:val="10"/>
        </w:numPr>
        <w:tabs>
          <w:tab w:val="left" w:pos="-180"/>
          <w:tab w:val="left" w:pos="720"/>
        </w:tabs>
        <w:jc w:val="both"/>
        <w:rPr>
          <w:rFonts w:ascii="Arial" w:hAnsi="Arial" w:cs="Arial"/>
        </w:rPr>
      </w:pPr>
      <w:r w:rsidRPr="00CF7B63">
        <w:rPr>
          <w:rFonts w:ascii="Arial" w:hAnsi="Arial" w:cs="Arial"/>
        </w:rPr>
        <w:t>A</w:t>
      </w:r>
      <w:r>
        <w:rPr>
          <w:rFonts w:ascii="Arial" w:hAnsi="Arial" w:cs="Arial"/>
        </w:rPr>
        <w:t xml:space="preserve"> </w:t>
      </w:r>
      <w:r w:rsidRPr="00CF7B63">
        <w:rPr>
          <w:rFonts w:ascii="Arial" w:hAnsi="Arial" w:cs="Arial"/>
        </w:rPr>
        <w:t xml:space="preserve">UE assisted handover based on A3/A5 where the stronger neighbour is indicated in the MR, or </w:t>
      </w:r>
    </w:p>
    <w:p w14:paraId="40DB72F4" w14:textId="77777777" w:rsidR="00CF7B63" w:rsidRDefault="00CF7B63" w:rsidP="00A53AC5">
      <w:pPr>
        <w:pStyle w:val="ListParagraph"/>
        <w:numPr>
          <w:ilvl w:val="0"/>
          <w:numId w:val="10"/>
        </w:numPr>
        <w:tabs>
          <w:tab w:val="left" w:pos="-180"/>
          <w:tab w:val="left" w:pos="720"/>
        </w:tabs>
        <w:jc w:val="both"/>
        <w:rPr>
          <w:rFonts w:ascii="Arial" w:hAnsi="Arial" w:cs="Arial"/>
        </w:rPr>
      </w:pPr>
      <w:r w:rsidRPr="00CF7B63">
        <w:rPr>
          <w:rFonts w:ascii="Arial" w:hAnsi="Arial" w:cs="Arial"/>
        </w:rPr>
        <w:t xml:space="preserve">A UE assisted handover based on A4 where neighbour is indicated in MR. However, the source may still be in sustainable signal conditions (or the entry condition of A3/A5 may not be satisfied). </w:t>
      </w:r>
    </w:p>
    <w:p w14:paraId="63C72CEA" w14:textId="30307BC2" w:rsidR="00CF7B63" w:rsidRDefault="00CF7B63" w:rsidP="0078555D">
      <w:pPr>
        <w:pStyle w:val="ListParagraph"/>
        <w:numPr>
          <w:ilvl w:val="0"/>
          <w:numId w:val="10"/>
        </w:numPr>
        <w:tabs>
          <w:tab w:val="left" w:pos="-180"/>
          <w:tab w:val="left" w:pos="720"/>
        </w:tabs>
        <w:jc w:val="both"/>
        <w:rPr>
          <w:rFonts w:ascii="Arial" w:hAnsi="Arial" w:cs="Arial"/>
        </w:rPr>
      </w:pPr>
      <w:r w:rsidRPr="00CF7B63">
        <w:rPr>
          <w:rFonts w:ascii="Arial" w:hAnsi="Arial" w:cs="Arial"/>
        </w:rPr>
        <w:t xml:space="preserve">Blind HO based on A2 where neighbour is not indicated in the MR. </w:t>
      </w:r>
      <w:r>
        <w:rPr>
          <w:rFonts w:ascii="Arial" w:hAnsi="Arial" w:cs="Arial"/>
        </w:rPr>
        <w:t>(use cases limited to specific deployments)</w:t>
      </w:r>
    </w:p>
    <w:p w14:paraId="11197807" w14:textId="125BB8A4" w:rsidR="00CF7B63" w:rsidRPr="00CF7B63" w:rsidRDefault="00CF7B63" w:rsidP="0078555D">
      <w:pPr>
        <w:pStyle w:val="ListParagraph"/>
        <w:numPr>
          <w:ilvl w:val="0"/>
          <w:numId w:val="10"/>
        </w:numPr>
        <w:tabs>
          <w:tab w:val="left" w:pos="-180"/>
          <w:tab w:val="left" w:pos="720"/>
        </w:tabs>
        <w:jc w:val="both"/>
        <w:rPr>
          <w:rFonts w:ascii="Arial" w:hAnsi="Arial" w:cs="Arial"/>
        </w:rPr>
      </w:pPr>
      <w:r w:rsidRPr="00CF7B63">
        <w:rPr>
          <w:rFonts w:ascii="Arial" w:hAnsi="Arial" w:cs="Arial"/>
        </w:rPr>
        <w:t>UE assisted handover based on multiple or sequence of measurement reports from UE (for different reporting configurations)</w:t>
      </w:r>
    </w:p>
    <w:p w14:paraId="727E581D" w14:textId="3B051B7B" w:rsidR="00CF7B63" w:rsidRDefault="00CF7B63" w:rsidP="00AC0417">
      <w:pPr>
        <w:tabs>
          <w:tab w:val="left" w:pos="-180"/>
          <w:tab w:val="left" w:pos="0"/>
          <w:tab w:val="left" w:pos="720"/>
        </w:tabs>
        <w:spacing w:before="120" w:after="120"/>
        <w:jc w:val="both"/>
        <w:rPr>
          <w:rFonts w:ascii="Arial" w:hAnsi="Arial" w:cs="Arial"/>
        </w:rPr>
      </w:pPr>
      <w:r>
        <w:rPr>
          <w:rFonts w:ascii="Arial" w:hAnsi="Arial" w:cs="Arial"/>
        </w:rPr>
        <w:t>All the intelligence that the network possess cannot be configured at the UE as it comes with a large overhead for the UE</w:t>
      </w:r>
      <w:r w:rsidR="007A0C8B">
        <w:rPr>
          <w:rFonts w:ascii="Arial" w:hAnsi="Arial" w:cs="Arial"/>
        </w:rPr>
        <w:t>,</w:t>
      </w:r>
      <w:r>
        <w:rPr>
          <w:rFonts w:ascii="Arial" w:hAnsi="Arial" w:cs="Arial"/>
        </w:rPr>
        <w:t xml:space="preserve"> and</w:t>
      </w:r>
      <w:r w:rsidR="00386038">
        <w:rPr>
          <w:rFonts w:ascii="Arial" w:hAnsi="Arial" w:cs="Arial"/>
        </w:rPr>
        <w:t xml:space="preserve"> the concurrent</w:t>
      </w:r>
      <w:r>
        <w:rPr>
          <w:rFonts w:ascii="Arial" w:hAnsi="Arial" w:cs="Arial"/>
        </w:rPr>
        <w:t xml:space="preserve"> monitoring all of these may lead to increased complexity. </w:t>
      </w:r>
      <w:r w:rsidR="00AC0417">
        <w:rPr>
          <w:rFonts w:ascii="Arial" w:hAnsi="Arial" w:cs="Arial"/>
        </w:rPr>
        <w:t xml:space="preserve">As a result, it is necessary to limit the number if trigger conditions that are configured to a UE for evaluating a CHO candidate cell. The intention is to provide the UE with </w:t>
      </w:r>
      <w:r w:rsidR="007A0C8B">
        <w:rPr>
          <w:rFonts w:ascii="Arial" w:hAnsi="Arial" w:cs="Arial"/>
        </w:rPr>
        <w:t>limited added</w:t>
      </w:r>
      <w:r w:rsidR="00AC0417">
        <w:rPr>
          <w:rFonts w:ascii="Arial" w:hAnsi="Arial" w:cs="Arial"/>
        </w:rPr>
        <w:t xml:space="preserve"> intelligence to evaluate if the CHO candidate to which CHO execution is planned, is suitable </w:t>
      </w:r>
      <w:r w:rsidR="007A0C8B">
        <w:rPr>
          <w:rFonts w:ascii="Arial" w:hAnsi="Arial" w:cs="Arial"/>
        </w:rPr>
        <w:t xml:space="preserve">in order </w:t>
      </w:r>
      <w:r w:rsidR="00AC0417">
        <w:rPr>
          <w:rFonts w:ascii="Arial" w:hAnsi="Arial" w:cs="Arial"/>
        </w:rPr>
        <w:t xml:space="preserve">to improve the reliability of CHO. Having a maximum of two </w:t>
      </w:r>
      <w:r w:rsidR="00AC0417">
        <w:rPr>
          <w:rFonts w:ascii="Arial" w:hAnsi="Arial" w:cs="Arial"/>
        </w:rPr>
        <w:lastRenderedPageBreak/>
        <w:t xml:space="preserve">CHO execution triggering conditions provide the UE with an additional degree of correctness </w:t>
      </w:r>
      <w:r w:rsidR="005E5CAF">
        <w:rPr>
          <w:rFonts w:ascii="Arial" w:hAnsi="Arial" w:cs="Arial"/>
        </w:rPr>
        <w:t xml:space="preserve">and confidence </w:t>
      </w:r>
      <w:r w:rsidR="00AC0417">
        <w:rPr>
          <w:rFonts w:ascii="Arial" w:hAnsi="Arial" w:cs="Arial"/>
        </w:rPr>
        <w:t xml:space="preserve">while evaluating the candidate cell for handover. </w:t>
      </w:r>
      <w:r w:rsidR="00B91947">
        <w:rPr>
          <w:rFonts w:ascii="Arial" w:hAnsi="Arial" w:cs="Arial"/>
        </w:rPr>
        <w:t>Therefore, we propose to limit the number of maximum triggering conditions p</w:t>
      </w:r>
      <w:r w:rsidR="005E5CAF">
        <w:rPr>
          <w:rFonts w:ascii="Arial" w:hAnsi="Arial" w:cs="Arial"/>
        </w:rPr>
        <w:t>e</w:t>
      </w:r>
      <w:r w:rsidR="00B91947">
        <w:rPr>
          <w:rFonts w:ascii="Arial" w:hAnsi="Arial" w:cs="Arial"/>
        </w:rPr>
        <w:t xml:space="preserve">r CHO candidate to two. </w:t>
      </w:r>
    </w:p>
    <w:p w14:paraId="43A7F3A4" w14:textId="3BB111D0" w:rsidR="00B91947" w:rsidRPr="00FF62A8" w:rsidRDefault="00B91947" w:rsidP="00AC0417">
      <w:pPr>
        <w:tabs>
          <w:tab w:val="left" w:pos="-180"/>
          <w:tab w:val="left" w:pos="0"/>
          <w:tab w:val="left" w:pos="720"/>
        </w:tabs>
        <w:spacing w:before="120" w:after="120"/>
        <w:jc w:val="both"/>
        <w:rPr>
          <w:rFonts w:ascii="Arial" w:hAnsi="Arial" w:cs="Arial"/>
          <w:b/>
        </w:rPr>
      </w:pPr>
      <w:r w:rsidRPr="00FF62A8">
        <w:rPr>
          <w:rFonts w:ascii="Arial" w:hAnsi="Arial" w:cs="Arial"/>
          <w:b/>
        </w:rPr>
        <w:t xml:space="preserve">Proposal 3: </w:t>
      </w:r>
      <w:r w:rsidR="00FF62A8" w:rsidRPr="00FF62A8">
        <w:rPr>
          <w:rFonts w:ascii="Arial" w:hAnsi="Arial" w:cs="Arial"/>
          <w:b/>
        </w:rPr>
        <w:t xml:space="preserve">A maximum of two triggering conditions can be configured per CHO candidate cell. </w:t>
      </w:r>
    </w:p>
    <w:p w14:paraId="1305212C" w14:textId="14467E11" w:rsidR="00FF62A8" w:rsidRDefault="00D91111" w:rsidP="00AC0417">
      <w:pPr>
        <w:tabs>
          <w:tab w:val="left" w:pos="-180"/>
          <w:tab w:val="left" w:pos="0"/>
          <w:tab w:val="left" w:pos="720"/>
        </w:tabs>
        <w:spacing w:before="120" w:after="120"/>
        <w:jc w:val="both"/>
        <w:rPr>
          <w:rFonts w:ascii="Arial" w:hAnsi="Arial" w:cs="Arial"/>
        </w:rPr>
      </w:pPr>
      <w:r>
        <w:rPr>
          <w:rFonts w:ascii="Arial" w:hAnsi="Arial" w:cs="Arial"/>
        </w:rPr>
        <w:t xml:space="preserve">Configuring a UE with multiple measurement quantities on the same RS-type does not impose any additional requirements at the UE. All the measurement quantities </w:t>
      </w:r>
      <w:r w:rsidR="00923A24">
        <w:rPr>
          <w:rFonts w:ascii="Arial" w:hAnsi="Arial" w:cs="Arial"/>
        </w:rPr>
        <w:t>– RSRP,</w:t>
      </w:r>
      <w:r w:rsidR="002625DB">
        <w:rPr>
          <w:rFonts w:ascii="Arial" w:hAnsi="Arial" w:cs="Arial"/>
        </w:rPr>
        <w:t xml:space="preserve"> RSRQ</w:t>
      </w:r>
      <w:r w:rsidR="00923A24">
        <w:rPr>
          <w:rFonts w:ascii="Arial" w:hAnsi="Arial" w:cs="Arial"/>
        </w:rPr>
        <w:t xml:space="preserve"> </w:t>
      </w:r>
      <w:r w:rsidR="004524E6">
        <w:rPr>
          <w:rFonts w:ascii="Arial" w:hAnsi="Arial" w:cs="Arial"/>
        </w:rPr>
        <w:t>and SINR</w:t>
      </w:r>
      <w:r w:rsidR="00923A24">
        <w:rPr>
          <w:rFonts w:ascii="Arial" w:hAnsi="Arial" w:cs="Arial"/>
        </w:rPr>
        <w:t xml:space="preserve"> </w:t>
      </w:r>
      <w:r w:rsidR="00324613">
        <w:rPr>
          <w:rFonts w:ascii="Arial" w:hAnsi="Arial" w:cs="Arial"/>
        </w:rPr>
        <w:t xml:space="preserve">– </w:t>
      </w:r>
      <w:r w:rsidR="00923A24">
        <w:rPr>
          <w:rFonts w:ascii="Arial" w:hAnsi="Arial" w:cs="Arial"/>
        </w:rPr>
        <w:t>are all calculated based on the refere</w:t>
      </w:r>
      <w:r w:rsidR="007546FB">
        <w:rPr>
          <w:rFonts w:ascii="Arial" w:hAnsi="Arial" w:cs="Arial"/>
        </w:rPr>
        <w:t xml:space="preserve">nce signal that the UE </w:t>
      </w:r>
      <w:r w:rsidR="00FD51D7">
        <w:rPr>
          <w:rFonts w:ascii="Arial" w:hAnsi="Arial" w:cs="Arial"/>
        </w:rPr>
        <w:t>detects and measures</w:t>
      </w:r>
      <w:r w:rsidR="007546FB">
        <w:rPr>
          <w:rFonts w:ascii="Arial" w:hAnsi="Arial" w:cs="Arial"/>
        </w:rPr>
        <w:t xml:space="preserve"> i.e. a UE can</w:t>
      </w:r>
      <w:r w:rsidR="00B30C6E">
        <w:rPr>
          <w:rFonts w:ascii="Arial" w:hAnsi="Arial" w:cs="Arial"/>
        </w:rPr>
        <w:t xml:space="preserve"> calculate all these qua</w:t>
      </w:r>
      <w:r w:rsidR="00C91710">
        <w:rPr>
          <w:rFonts w:ascii="Arial" w:hAnsi="Arial" w:cs="Arial"/>
        </w:rPr>
        <w:t>nt</w:t>
      </w:r>
      <w:r w:rsidR="00B30C6E">
        <w:rPr>
          <w:rFonts w:ascii="Arial" w:hAnsi="Arial" w:cs="Arial"/>
        </w:rPr>
        <w:t>ities b</w:t>
      </w:r>
      <w:r w:rsidR="007546FB">
        <w:rPr>
          <w:rFonts w:ascii="Arial" w:hAnsi="Arial" w:cs="Arial"/>
        </w:rPr>
        <w:t xml:space="preserve">y measuring a single reference </w:t>
      </w:r>
      <w:r w:rsidR="004524E6">
        <w:rPr>
          <w:rFonts w:ascii="Arial" w:hAnsi="Arial" w:cs="Arial"/>
        </w:rPr>
        <w:t>symbol</w:t>
      </w:r>
      <w:r w:rsidR="002625DB">
        <w:rPr>
          <w:rFonts w:ascii="Arial" w:hAnsi="Arial" w:cs="Arial"/>
        </w:rPr>
        <w:t>.</w:t>
      </w:r>
      <w:r w:rsidR="00634909">
        <w:rPr>
          <w:rFonts w:ascii="Arial" w:hAnsi="Arial" w:cs="Arial"/>
        </w:rPr>
        <w:t xml:space="preserve"> However, </w:t>
      </w:r>
      <w:r w:rsidR="00D42BF1">
        <w:rPr>
          <w:rFonts w:ascii="Arial" w:hAnsi="Arial" w:cs="Arial"/>
        </w:rPr>
        <w:t>if the UE were to measure 2 different RS-types, this imposes an additional requirement at the UE</w:t>
      </w:r>
      <w:r w:rsidR="00DA6A08">
        <w:rPr>
          <w:rFonts w:ascii="Arial" w:hAnsi="Arial" w:cs="Arial"/>
        </w:rPr>
        <w:t>.</w:t>
      </w:r>
      <w:r w:rsidR="000B549B">
        <w:rPr>
          <w:rFonts w:ascii="Arial" w:hAnsi="Arial" w:cs="Arial"/>
        </w:rPr>
        <w:t xml:space="preserve"> Again, the intention of having multiple trigger conditions is to provide some additional reliability in performing CHO and to limit any increased complexity. </w:t>
      </w:r>
      <w:r w:rsidR="002F36A2">
        <w:rPr>
          <w:rFonts w:ascii="Arial" w:hAnsi="Arial" w:cs="Arial"/>
        </w:rPr>
        <w:t xml:space="preserve">Therefore, to ensure UE is not having additional requirements and to limit the UE complexity, only a single RS-Type can be configured for a CHO candidate cell. </w:t>
      </w:r>
    </w:p>
    <w:p w14:paraId="2578B463" w14:textId="3F56DD6E" w:rsidR="002F36A2" w:rsidRDefault="002F36A2" w:rsidP="00AC0417">
      <w:pPr>
        <w:tabs>
          <w:tab w:val="left" w:pos="-180"/>
          <w:tab w:val="left" w:pos="0"/>
          <w:tab w:val="left" w:pos="720"/>
        </w:tabs>
        <w:spacing w:before="120" w:after="120"/>
        <w:jc w:val="both"/>
        <w:rPr>
          <w:rFonts w:ascii="Arial" w:hAnsi="Arial" w:cs="Arial"/>
          <w:b/>
        </w:rPr>
      </w:pPr>
      <w:r>
        <w:rPr>
          <w:rFonts w:ascii="Arial" w:hAnsi="Arial" w:cs="Arial"/>
          <w:b/>
        </w:rPr>
        <w:t xml:space="preserve">Proposal 4: The multiple trigger conditions shall not add increased requirements at the UE. </w:t>
      </w:r>
    </w:p>
    <w:p w14:paraId="1D5A5EE4" w14:textId="3338A9EF" w:rsidR="005A60CA" w:rsidRPr="005A60CA" w:rsidRDefault="002F36A2" w:rsidP="00A62833">
      <w:pPr>
        <w:tabs>
          <w:tab w:val="left" w:pos="-180"/>
          <w:tab w:val="left" w:pos="0"/>
          <w:tab w:val="left" w:pos="720"/>
        </w:tabs>
        <w:spacing w:before="120" w:after="120"/>
        <w:jc w:val="both"/>
        <w:rPr>
          <w:rFonts w:ascii="Arial" w:hAnsi="Arial" w:cs="Arial"/>
        </w:rPr>
      </w:pPr>
      <w:r>
        <w:rPr>
          <w:rFonts w:ascii="Arial" w:hAnsi="Arial" w:cs="Arial"/>
          <w:b/>
        </w:rPr>
        <w:t xml:space="preserve">Proposal 5: Single RS-Type </w:t>
      </w:r>
      <w:r w:rsidR="003700E6">
        <w:rPr>
          <w:rFonts w:ascii="Arial" w:hAnsi="Arial" w:cs="Arial"/>
          <w:b/>
        </w:rPr>
        <w:t xml:space="preserve">has to be configured for the multiple triggering conditions associated to a CHO candidate. </w:t>
      </w:r>
      <w:r w:rsidR="005A60CA">
        <w:rPr>
          <w:rFonts w:ascii="Arial" w:hAnsi="Arial" w:cs="Arial"/>
        </w:rPr>
        <w:t xml:space="preserve"> </w:t>
      </w:r>
    </w:p>
    <w:p w14:paraId="43A12B72" w14:textId="6E428EF9" w:rsidR="00CD4C7B" w:rsidRPr="00C639BE" w:rsidRDefault="00552D69" w:rsidP="00CD4C7B">
      <w:pPr>
        <w:pStyle w:val="Heading1"/>
        <w:rPr>
          <w:rFonts w:cs="Arial"/>
        </w:rPr>
      </w:pPr>
      <w:r>
        <w:rPr>
          <w:rFonts w:cs="Arial"/>
        </w:rPr>
        <w:t>3</w:t>
      </w:r>
      <w:r w:rsidR="00CD4C7B" w:rsidRPr="00C639BE">
        <w:rPr>
          <w:rFonts w:cs="Arial"/>
        </w:rPr>
        <w:tab/>
      </w:r>
      <w:r w:rsidR="00EC404A" w:rsidRPr="00C639BE">
        <w:rPr>
          <w:rFonts w:cs="Arial"/>
        </w:rPr>
        <w:t>Conclusion</w:t>
      </w:r>
    </w:p>
    <w:p w14:paraId="190C81D1" w14:textId="119186E3" w:rsidR="00CD4C7B" w:rsidRDefault="00934EB9" w:rsidP="00EF31F5">
      <w:pPr>
        <w:jc w:val="both"/>
        <w:rPr>
          <w:rFonts w:ascii="Arial" w:hAnsi="Arial" w:cs="Arial"/>
        </w:rPr>
      </w:pPr>
      <w:r w:rsidRPr="00C639BE">
        <w:rPr>
          <w:rFonts w:ascii="Arial" w:hAnsi="Arial" w:cs="Arial"/>
        </w:rPr>
        <w:t>The contribution</w:t>
      </w:r>
      <w:r w:rsidR="004C5AA0" w:rsidRPr="00C639BE">
        <w:rPr>
          <w:rFonts w:ascii="Arial" w:hAnsi="Arial" w:cs="Arial"/>
        </w:rPr>
        <w:t xml:space="preserve"> di</w:t>
      </w:r>
      <w:r w:rsidR="00D31234" w:rsidRPr="00C639BE">
        <w:rPr>
          <w:rFonts w:ascii="Arial" w:hAnsi="Arial" w:cs="Arial"/>
        </w:rPr>
        <w:t xml:space="preserve">scussed </w:t>
      </w:r>
      <w:r w:rsidR="005A4716">
        <w:rPr>
          <w:rFonts w:ascii="Arial" w:hAnsi="Arial" w:cs="Arial"/>
        </w:rPr>
        <w:t xml:space="preserve">the </w:t>
      </w:r>
      <w:r w:rsidR="009B168E">
        <w:rPr>
          <w:rFonts w:ascii="Arial" w:hAnsi="Arial" w:cs="Arial"/>
          <w:lang w:val="en-US"/>
        </w:rPr>
        <w:t>the use for multiple triggering conditions</w:t>
      </w:r>
      <w:r w:rsidR="005A4716">
        <w:rPr>
          <w:rFonts w:ascii="Arial" w:hAnsi="Arial" w:cs="Arial"/>
        </w:rPr>
        <w:t xml:space="preserve"> for </w:t>
      </w:r>
      <w:r w:rsidR="009B168E">
        <w:rPr>
          <w:rFonts w:ascii="Arial" w:hAnsi="Arial" w:cs="Arial"/>
        </w:rPr>
        <w:t>evaluating a CHO candidate for CHO execution</w:t>
      </w:r>
      <w:r w:rsidR="005A4716">
        <w:rPr>
          <w:rFonts w:ascii="Arial" w:hAnsi="Arial" w:cs="Arial"/>
        </w:rPr>
        <w:t>.</w:t>
      </w:r>
      <w:r w:rsidR="00D31234" w:rsidRPr="00C639BE">
        <w:rPr>
          <w:rFonts w:ascii="Arial" w:hAnsi="Arial" w:cs="Arial"/>
        </w:rPr>
        <w:t xml:space="preserve"> </w:t>
      </w:r>
      <w:r w:rsidR="009B168E">
        <w:rPr>
          <w:rFonts w:ascii="Arial" w:hAnsi="Arial" w:cs="Arial"/>
        </w:rPr>
        <w:t>T</w:t>
      </w:r>
      <w:r w:rsidR="00D31234" w:rsidRPr="00C639BE">
        <w:rPr>
          <w:rFonts w:ascii="Arial" w:hAnsi="Arial" w:cs="Arial"/>
        </w:rPr>
        <w:t xml:space="preserve">he following </w:t>
      </w:r>
      <w:r w:rsidR="00DC04F9" w:rsidRPr="00C639BE">
        <w:rPr>
          <w:rFonts w:ascii="Arial" w:hAnsi="Arial" w:cs="Arial"/>
        </w:rPr>
        <w:t xml:space="preserve">observations and </w:t>
      </w:r>
      <w:r w:rsidR="00D31234" w:rsidRPr="00C639BE">
        <w:rPr>
          <w:rFonts w:ascii="Arial" w:hAnsi="Arial" w:cs="Arial"/>
        </w:rPr>
        <w:t>proposal are made.</w:t>
      </w:r>
    </w:p>
    <w:p w14:paraId="1EEB4714" w14:textId="31C6D76C" w:rsidR="0047495E" w:rsidRDefault="0047495E" w:rsidP="0047495E">
      <w:pPr>
        <w:tabs>
          <w:tab w:val="left" w:pos="-180"/>
          <w:tab w:val="left" w:pos="0"/>
          <w:tab w:val="left" w:pos="720"/>
        </w:tabs>
        <w:spacing w:before="120" w:after="120"/>
        <w:jc w:val="both"/>
        <w:rPr>
          <w:rFonts w:ascii="Arial" w:hAnsi="Arial" w:cs="Arial"/>
          <w:b/>
        </w:rPr>
      </w:pPr>
      <w:r w:rsidRPr="00363DB3">
        <w:rPr>
          <w:rFonts w:ascii="Arial" w:hAnsi="Arial" w:cs="Arial"/>
          <w:b/>
        </w:rPr>
        <w:t xml:space="preserve">Observation 1: In existing handover mechanism, the handover decision is not made solely based on a single measurement report received from UE. </w:t>
      </w:r>
    </w:p>
    <w:p w14:paraId="0E64433C" w14:textId="77777777" w:rsidR="0047495E" w:rsidRPr="0052398B" w:rsidRDefault="0047495E" w:rsidP="0047495E">
      <w:pPr>
        <w:tabs>
          <w:tab w:val="left" w:pos="-180"/>
          <w:tab w:val="left" w:pos="0"/>
          <w:tab w:val="left" w:pos="720"/>
        </w:tabs>
        <w:spacing w:before="120" w:after="120"/>
        <w:jc w:val="both"/>
        <w:rPr>
          <w:rFonts w:ascii="Arial" w:hAnsi="Arial" w:cs="Arial"/>
          <w:b/>
        </w:rPr>
      </w:pPr>
      <w:r w:rsidRPr="0052398B">
        <w:rPr>
          <w:rFonts w:ascii="Arial" w:hAnsi="Arial" w:cs="Arial"/>
          <w:b/>
        </w:rPr>
        <w:t>Observation 2: Event A4 like CHO execution condition may be useful to be supported in addition to only A3/A5</w:t>
      </w:r>
      <w:r w:rsidRPr="00AC4CA9">
        <w:rPr>
          <w:rFonts w:ascii="Arial" w:hAnsi="Arial" w:cs="Arial"/>
        </w:rPr>
        <w:t xml:space="preserve"> </w:t>
      </w:r>
      <w:r w:rsidRPr="0052398B">
        <w:rPr>
          <w:rFonts w:ascii="Arial" w:hAnsi="Arial" w:cs="Arial"/>
          <w:b/>
        </w:rPr>
        <w:t>like execution conditions. However, only having event A4 like CHO execution condition is not very reliable.</w:t>
      </w:r>
    </w:p>
    <w:p w14:paraId="02EEE8E6" w14:textId="77777777" w:rsidR="0047495E" w:rsidRPr="00F23C07" w:rsidRDefault="0047495E" w:rsidP="0047495E">
      <w:pPr>
        <w:tabs>
          <w:tab w:val="left" w:pos="-180"/>
          <w:tab w:val="left" w:pos="0"/>
          <w:tab w:val="left" w:pos="720"/>
        </w:tabs>
        <w:spacing w:before="120" w:after="120"/>
        <w:jc w:val="both"/>
        <w:rPr>
          <w:rFonts w:ascii="Arial" w:hAnsi="Arial" w:cs="Arial"/>
          <w:b/>
        </w:rPr>
      </w:pPr>
      <w:r w:rsidRPr="00F23C07">
        <w:rPr>
          <w:rFonts w:ascii="Arial" w:hAnsi="Arial" w:cs="Arial"/>
          <w:b/>
        </w:rPr>
        <w:t xml:space="preserve">Proposal 1: CHO execution can be triggered based on multiple trigger conditions. </w:t>
      </w:r>
    </w:p>
    <w:p w14:paraId="725F3340" w14:textId="77777777" w:rsidR="0047495E" w:rsidRPr="0052398B" w:rsidRDefault="0047495E" w:rsidP="0047495E">
      <w:pPr>
        <w:tabs>
          <w:tab w:val="left" w:pos="-180"/>
          <w:tab w:val="left" w:pos="0"/>
          <w:tab w:val="left" w:pos="720"/>
        </w:tabs>
        <w:spacing w:before="120" w:after="120"/>
        <w:jc w:val="both"/>
        <w:rPr>
          <w:rFonts w:ascii="Arial" w:hAnsi="Arial" w:cs="Arial"/>
          <w:b/>
        </w:rPr>
      </w:pPr>
      <w:r w:rsidRPr="0052398B">
        <w:rPr>
          <w:rFonts w:ascii="Arial" w:hAnsi="Arial" w:cs="Arial"/>
          <w:b/>
        </w:rPr>
        <w:t>Proposal 2: Event A4 like CHO execution condition can be configured only if multiple trigger conditions are configured.</w:t>
      </w:r>
    </w:p>
    <w:p w14:paraId="73D0038D" w14:textId="77777777" w:rsidR="0047495E" w:rsidRPr="00FF62A8" w:rsidRDefault="0047495E" w:rsidP="0047495E">
      <w:pPr>
        <w:tabs>
          <w:tab w:val="left" w:pos="-180"/>
          <w:tab w:val="left" w:pos="0"/>
          <w:tab w:val="left" w:pos="720"/>
        </w:tabs>
        <w:spacing w:before="120" w:after="120"/>
        <w:jc w:val="both"/>
        <w:rPr>
          <w:rFonts w:ascii="Arial" w:hAnsi="Arial" w:cs="Arial"/>
          <w:b/>
        </w:rPr>
      </w:pPr>
      <w:r w:rsidRPr="00FF62A8">
        <w:rPr>
          <w:rFonts w:ascii="Arial" w:hAnsi="Arial" w:cs="Arial"/>
          <w:b/>
        </w:rPr>
        <w:t xml:space="preserve">Proposal 3: A maximum of two triggering conditions can be configured per CHO candidate cell. </w:t>
      </w:r>
    </w:p>
    <w:p w14:paraId="43041597" w14:textId="77777777" w:rsidR="0047495E" w:rsidRDefault="0047495E" w:rsidP="0047495E">
      <w:pPr>
        <w:tabs>
          <w:tab w:val="left" w:pos="-180"/>
          <w:tab w:val="left" w:pos="0"/>
          <w:tab w:val="left" w:pos="720"/>
        </w:tabs>
        <w:spacing w:before="120" w:after="120"/>
        <w:jc w:val="both"/>
        <w:rPr>
          <w:rFonts w:ascii="Arial" w:hAnsi="Arial" w:cs="Arial"/>
          <w:b/>
        </w:rPr>
      </w:pPr>
      <w:r>
        <w:rPr>
          <w:rFonts w:ascii="Arial" w:hAnsi="Arial" w:cs="Arial"/>
          <w:b/>
        </w:rPr>
        <w:t xml:space="preserve">Proposal 4: The multiple trigger conditions shall not add increased requirements at the UE. </w:t>
      </w:r>
    </w:p>
    <w:p w14:paraId="16F061F9" w14:textId="6A6B2030" w:rsidR="0047495E" w:rsidRDefault="0047495E" w:rsidP="00F516FB">
      <w:pPr>
        <w:tabs>
          <w:tab w:val="left" w:pos="-180"/>
          <w:tab w:val="left" w:pos="0"/>
          <w:tab w:val="left" w:pos="720"/>
        </w:tabs>
        <w:spacing w:before="120" w:after="120"/>
        <w:jc w:val="both"/>
        <w:rPr>
          <w:rFonts w:ascii="Arial" w:hAnsi="Arial" w:cs="Arial"/>
        </w:rPr>
      </w:pPr>
      <w:r>
        <w:rPr>
          <w:rFonts w:ascii="Arial" w:hAnsi="Arial" w:cs="Arial"/>
          <w:b/>
        </w:rPr>
        <w:t xml:space="preserve">Proposal 5: Single RS-Type has to be configured for the multiple triggering conditions associated to a CHO candidate. </w:t>
      </w:r>
      <w:r>
        <w:rPr>
          <w:rFonts w:ascii="Arial" w:hAnsi="Arial" w:cs="Arial"/>
        </w:rPr>
        <w:t xml:space="preserve"> </w:t>
      </w:r>
    </w:p>
    <w:p w14:paraId="0FDCFAC2" w14:textId="77777777" w:rsidR="00CD4C7B" w:rsidRPr="00C639BE" w:rsidRDefault="00CD4C7B" w:rsidP="00CD4C7B">
      <w:pPr>
        <w:pStyle w:val="Heading1"/>
        <w:rPr>
          <w:rFonts w:cs="Arial"/>
        </w:rPr>
      </w:pPr>
      <w:r w:rsidRPr="00C639BE">
        <w:rPr>
          <w:rFonts w:cs="Arial"/>
        </w:rPr>
        <w:t>References</w:t>
      </w:r>
    </w:p>
    <w:p w14:paraId="76BA2103" w14:textId="0BC5FAC2" w:rsidR="000F4184" w:rsidRPr="00C639BE" w:rsidRDefault="00E56643" w:rsidP="00EF31F5">
      <w:pPr>
        <w:numPr>
          <w:ilvl w:val="0"/>
          <w:numId w:val="4"/>
        </w:numPr>
        <w:overflowPunct w:val="0"/>
        <w:autoSpaceDE w:val="0"/>
        <w:autoSpaceDN w:val="0"/>
        <w:adjustRightInd w:val="0"/>
        <w:jc w:val="both"/>
        <w:textAlignment w:val="baseline"/>
        <w:rPr>
          <w:rFonts w:ascii="Arial" w:hAnsi="Arial" w:cs="Arial"/>
        </w:rPr>
      </w:pPr>
      <w:bookmarkStart w:id="1" w:name="_Ref528151056"/>
      <w:bookmarkStart w:id="2" w:name="_Ref75086397"/>
      <w:r w:rsidRPr="00C639BE">
        <w:rPr>
          <w:rFonts w:ascii="Arial" w:hAnsi="Arial" w:cs="Arial"/>
        </w:rPr>
        <w:t>RP-181433, New WID: NR mobility enhancements, 3GPP TSG RAN Meeting #80, La Jolla, USA, May 21-May 25 2018.</w:t>
      </w:r>
      <w:r w:rsidRPr="00C639BE" w:rsidDel="00E56643">
        <w:rPr>
          <w:rFonts w:ascii="Arial" w:hAnsi="Arial" w:cs="Arial"/>
        </w:rPr>
        <w:t xml:space="preserve"> </w:t>
      </w:r>
      <w:r w:rsidRPr="00C639BE">
        <w:rPr>
          <w:rFonts w:ascii="Arial" w:hAnsi="Arial" w:cs="Arial"/>
        </w:rPr>
        <w:t xml:space="preserve"> </w:t>
      </w:r>
      <w:bookmarkEnd w:id="1"/>
    </w:p>
    <w:bookmarkEnd w:id="2"/>
    <w:p w14:paraId="477B0C3C" w14:textId="0C552111" w:rsidR="000C7A74" w:rsidRPr="00D64929" w:rsidRDefault="000C7A74" w:rsidP="005D33A9">
      <w:pPr>
        <w:overflowPunct w:val="0"/>
        <w:autoSpaceDE w:val="0"/>
        <w:autoSpaceDN w:val="0"/>
        <w:adjustRightInd w:val="0"/>
        <w:ind w:left="357"/>
        <w:jc w:val="both"/>
        <w:textAlignment w:val="baseline"/>
        <w:rPr>
          <w:rFonts w:ascii="Arial" w:eastAsia="Malgun Gothic" w:hAnsi="Arial" w:cs="Arial"/>
          <w:lang w:eastAsia="ko-KR"/>
        </w:rPr>
      </w:pPr>
    </w:p>
    <w:sectPr w:rsidR="000C7A74" w:rsidRPr="00D64929"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9137EB" w14:textId="77777777" w:rsidR="002E1888" w:rsidRDefault="002E1888">
      <w:r>
        <w:separator/>
      </w:r>
    </w:p>
  </w:endnote>
  <w:endnote w:type="continuationSeparator" w:id="0">
    <w:p w14:paraId="246E2844" w14:textId="77777777" w:rsidR="002E1888" w:rsidRDefault="002E1888">
      <w:r>
        <w:continuationSeparator/>
      </w:r>
    </w:p>
  </w:endnote>
  <w:endnote w:type="continuationNotice" w:id="1">
    <w:p w14:paraId="20E573FE" w14:textId="77777777" w:rsidR="002E1888" w:rsidRDefault="002E18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1EF52F" w14:textId="77777777" w:rsidR="002E1888" w:rsidRDefault="002E1888">
      <w:r>
        <w:separator/>
      </w:r>
    </w:p>
  </w:footnote>
  <w:footnote w:type="continuationSeparator" w:id="0">
    <w:p w14:paraId="167F4787" w14:textId="77777777" w:rsidR="002E1888" w:rsidRDefault="002E1888">
      <w:r>
        <w:continuationSeparator/>
      </w:r>
    </w:p>
  </w:footnote>
  <w:footnote w:type="continuationNotice" w:id="1">
    <w:p w14:paraId="7323FC3A" w14:textId="77777777" w:rsidR="002E1888" w:rsidRDefault="002E18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84AC7"/>
    <w:multiLevelType w:val="hybridMultilevel"/>
    <w:tmpl w:val="0896D84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E5343C2"/>
    <w:multiLevelType w:val="hybridMultilevel"/>
    <w:tmpl w:val="57A02A16"/>
    <w:lvl w:ilvl="0" w:tplc="79E22F60">
      <w:start w:val="1"/>
      <w:numFmt w:val="decimalZero"/>
      <w:suff w:val="nothing"/>
      <w:lvlText w:val="[00%1] "/>
      <w:lvlJc w:val="left"/>
      <w:pPr>
        <w:tabs>
          <w:tab w:val="num" w:pos="0"/>
        </w:tabs>
        <w:ind w:left="0" w:firstLine="0"/>
      </w:pPr>
      <w:rPr>
        <w:rFonts w:ascii="Times New Roman" w:eastAsia="Times New Roman" w:hAnsi="Times New Roman" w:cs="Times New Roman" w:hint="default"/>
        <w:b w:val="0"/>
        <w:i w:val="0"/>
        <w:noProof w:val="0"/>
        <w:sz w:val="24"/>
        <w:szCs w:val="24"/>
      </w:rPr>
    </w:lvl>
    <w:lvl w:ilvl="1" w:tplc="35B834E6">
      <w:start w:val="1"/>
      <w:numFmt w:val="lowerLetter"/>
      <w:lvlText w:val="%2."/>
      <w:lvlJc w:val="left"/>
      <w:pPr>
        <w:tabs>
          <w:tab w:val="num" w:pos="450"/>
        </w:tabs>
        <w:ind w:left="450" w:hanging="360"/>
      </w:pPr>
      <w:rPr>
        <w:b w:val="0"/>
      </w:rPr>
    </w:lvl>
    <w:lvl w:ilvl="2" w:tplc="0409001B">
      <w:start w:val="1"/>
      <w:numFmt w:val="lowerRoman"/>
      <w:lvlText w:val="%3."/>
      <w:lvlJc w:val="right"/>
      <w:pPr>
        <w:tabs>
          <w:tab w:val="num" w:pos="1350"/>
        </w:tabs>
        <w:ind w:left="1350" w:hanging="180"/>
      </w:pPr>
    </w:lvl>
    <w:lvl w:ilvl="3" w:tplc="3D2ADE68">
      <w:start w:val="1"/>
      <w:numFmt w:val="decimal"/>
      <w:lvlText w:val="%4."/>
      <w:lvlJc w:val="left"/>
      <w:pPr>
        <w:tabs>
          <w:tab w:val="num" w:pos="1080"/>
        </w:tabs>
        <w:ind w:left="1080" w:hanging="360"/>
      </w:pPr>
      <w:rPr>
        <w:b w:val="0"/>
        <w:sz w:val="24"/>
        <w:szCs w:val="24"/>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8"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5"/>
  </w:num>
  <w:num w:numId="7">
    <w:abstractNumId w:val="9"/>
  </w:num>
  <w:num w:numId="8">
    <w:abstractNumId w:val="8"/>
  </w:num>
  <w:num w:numId="9">
    <w:abstractNumId w:val="7"/>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16E90"/>
    <w:rsid w:val="00023FE1"/>
    <w:rsid w:val="00025CAA"/>
    <w:rsid w:val="00026163"/>
    <w:rsid w:val="00027E9F"/>
    <w:rsid w:val="00033397"/>
    <w:rsid w:val="00036A85"/>
    <w:rsid w:val="00040095"/>
    <w:rsid w:val="00042337"/>
    <w:rsid w:val="0004393C"/>
    <w:rsid w:val="00044A21"/>
    <w:rsid w:val="0005343D"/>
    <w:rsid w:val="00055729"/>
    <w:rsid w:val="00065106"/>
    <w:rsid w:val="000656C6"/>
    <w:rsid w:val="000658D1"/>
    <w:rsid w:val="000665E2"/>
    <w:rsid w:val="00066E93"/>
    <w:rsid w:val="000721ED"/>
    <w:rsid w:val="00073C25"/>
    <w:rsid w:val="00080512"/>
    <w:rsid w:val="00083CB8"/>
    <w:rsid w:val="00087D20"/>
    <w:rsid w:val="00090468"/>
    <w:rsid w:val="0009078A"/>
    <w:rsid w:val="0009151D"/>
    <w:rsid w:val="00095799"/>
    <w:rsid w:val="000A5DC9"/>
    <w:rsid w:val="000B15D2"/>
    <w:rsid w:val="000B549B"/>
    <w:rsid w:val="000B7BCF"/>
    <w:rsid w:val="000C1610"/>
    <w:rsid w:val="000C1DC9"/>
    <w:rsid w:val="000C4661"/>
    <w:rsid w:val="000C522B"/>
    <w:rsid w:val="000C7A74"/>
    <w:rsid w:val="000D1C3C"/>
    <w:rsid w:val="000D2C9E"/>
    <w:rsid w:val="000D58AB"/>
    <w:rsid w:val="000E2703"/>
    <w:rsid w:val="000E76EC"/>
    <w:rsid w:val="000F0E7B"/>
    <w:rsid w:val="000F16F5"/>
    <w:rsid w:val="000F25E9"/>
    <w:rsid w:val="000F29D0"/>
    <w:rsid w:val="000F4184"/>
    <w:rsid w:val="000F5175"/>
    <w:rsid w:val="000F73A2"/>
    <w:rsid w:val="00101F09"/>
    <w:rsid w:val="001029D4"/>
    <w:rsid w:val="001059B9"/>
    <w:rsid w:val="00106D9B"/>
    <w:rsid w:val="00106E25"/>
    <w:rsid w:val="001070D6"/>
    <w:rsid w:val="001077E2"/>
    <w:rsid w:val="00112F1A"/>
    <w:rsid w:val="00117E0A"/>
    <w:rsid w:val="00125389"/>
    <w:rsid w:val="0012595C"/>
    <w:rsid w:val="0012661A"/>
    <w:rsid w:val="001315D2"/>
    <w:rsid w:val="00131AD5"/>
    <w:rsid w:val="00131D33"/>
    <w:rsid w:val="001326C2"/>
    <w:rsid w:val="00133FC0"/>
    <w:rsid w:val="00140130"/>
    <w:rsid w:val="00140758"/>
    <w:rsid w:val="001434E6"/>
    <w:rsid w:val="00145075"/>
    <w:rsid w:val="00145E81"/>
    <w:rsid w:val="00153844"/>
    <w:rsid w:val="00153C1D"/>
    <w:rsid w:val="001610D0"/>
    <w:rsid w:val="00162BE6"/>
    <w:rsid w:val="00162F06"/>
    <w:rsid w:val="00163DDD"/>
    <w:rsid w:val="00166A67"/>
    <w:rsid w:val="001741A0"/>
    <w:rsid w:val="00175FA0"/>
    <w:rsid w:val="00194CD0"/>
    <w:rsid w:val="00197620"/>
    <w:rsid w:val="001A010B"/>
    <w:rsid w:val="001A0627"/>
    <w:rsid w:val="001A3BC4"/>
    <w:rsid w:val="001B2A89"/>
    <w:rsid w:val="001B49C9"/>
    <w:rsid w:val="001B6DAF"/>
    <w:rsid w:val="001C0ACA"/>
    <w:rsid w:val="001C467F"/>
    <w:rsid w:val="001C4F79"/>
    <w:rsid w:val="001C5BDB"/>
    <w:rsid w:val="001C6DD7"/>
    <w:rsid w:val="001D1FCA"/>
    <w:rsid w:val="001D3A94"/>
    <w:rsid w:val="001D6012"/>
    <w:rsid w:val="001E22B7"/>
    <w:rsid w:val="001E3E51"/>
    <w:rsid w:val="001F168B"/>
    <w:rsid w:val="001F2530"/>
    <w:rsid w:val="001F2A0C"/>
    <w:rsid w:val="001F39E8"/>
    <w:rsid w:val="001F3D5E"/>
    <w:rsid w:val="001F671B"/>
    <w:rsid w:val="001F7831"/>
    <w:rsid w:val="00202876"/>
    <w:rsid w:val="00204045"/>
    <w:rsid w:val="00206727"/>
    <w:rsid w:val="0020712B"/>
    <w:rsid w:val="00212FB0"/>
    <w:rsid w:val="00214BD3"/>
    <w:rsid w:val="0021664E"/>
    <w:rsid w:val="002218C5"/>
    <w:rsid w:val="00221FE3"/>
    <w:rsid w:val="0022606D"/>
    <w:rsid w:val="00231728"/>
    <w:rsid w:val="002334FD"/>
    <w:rsid w:val="00233C1A"/>
    <w:rsid w:val="00237CA9"/>
    <w:rsid w:val="00237FF5"/>
    <w:rsid w:val="00241147"/>
    <w:rsid w:val="00246343"/>
    <w:rsid w:val="002470FC"/>
    <w:rsid w:val="00250BD0"/>
    <w:rsid w:val="00250D15"/>
    <w:rsid w:val="00255ABB"/>
    <w:rsid w:val="002610D8"/>
    <w:rsid w:val="00261D26"/>
    <w:rsid w:val="002625DB"/>
    <w:rsid w:val="00263E5C"/>
    <w:rsid w:val="002705D0"/>
    <w:rsid w:val="002747EC"/>
    <w:rsid w:val="00280F8E"/>
    <w:rsid w:val="00283741"/>
    <w:rsid w:val="00283E5C"/>
    <w:rsid w:val="002855BF"/>
    <w:rsid w:val="0029324C"/>
    <w:rsid w:val="00295D82"/>
    <w:rsid w:val="002968AA"/>
    <w:rsid w:val="00296A0A"/>
    <w:rsid w:val="002A0FA3"/>
    <w:rsid w:val="002B7944"/>
    <w:rsid w:val="002C55F5"/>
    <w:rsid w:val="002D19E1"/>
    <w:rsid w:val="002D1D52"/>
    <w:rsid w:val="002D215B"/>
    <w:rsid w:val="002D5F48"/>
    <w:rsid w:val="002D6456"/>
    <w:rsid w:val="002E1888"/>
    <w:rsid w:val="002E317F"/>
    <w:rsid w:val="002F0D22"/>
    <w:rsid w:val="002F0F1F"/>
    <w:rsid w:val="002F36A2"/>
    <w:rsid w:val="0030263B"/>
    <w:rsid w:val="00303270"/>
    <w:rsid w:val="00305587"/>
    <w:rsid w:val="00310CB1"/>
    <w:rsid w:val="00311E97"/>
    <w:rsid w:val="00316EF8"/>
    <w:rsid w:val="003172DC"/>
    <w:rsid w:val="00317A9A"/>
    <w:rsid w:val="003205B7"/>
    <w:rsid w:val="00323BAA"/>
    <w:rsid w:val="00324613"/>
    <w:rsid w:val="00325AE3"/>
    <w:rsid w:val="00325EA1"/>
    <w:rsid w:val="00326069"/>
    <w:rsid w:val="00330A0B"/>
    <w:rsid w:val="00330F24"/>
    <w:rsid w:val="003317EE"/>
    <w:rsid w:val="0033484D"/>
    <w:rsid w:val="003442E6"/>
    <w:rsid w:val="0035462D"/>
    <w:rsid w:val="00354FBE"/>
    <w:rsid w:val="00356164"/>
    <w:rsid w:val="00363DB3"/>
    <w:rsid w:val="00364B41"/>
    <w:rsid w:val="003700E6"/>
    <w:rsid w:val="00372025"/>
    <w:rsid w:val="00381D38"/>
    <w:rsid w:val="0038512A"/>
    <w:rsid w:val="00386038"/>
    <w:rsid w:val="00392DE8"/>
    <w:rsid w:val="00396318"/>
    <w:rsid w:val="003A296A"/>
    <w:rsid w:val="003A3C2C"/>
    <w:rsid w:val="003A41EF"/>
    <w:rsid w:val="003B240B"/>
    <w:rsid w:val="003B2A2A"/>
    <w:rsid w:val="003B40AD"/>
    <w:rsid w:val="003B418A"/>
    <w:rsid w:val="003C0108"/>
    <w:rsid w:val="003C1502"/>
    <w:rsid w:val="003C1A0E"/>
    <w:rsid w:val="003C4E37"/>
    <w:rsid w:val="003D2077"/>
    <w:rsid w:val="003E1261"/>
    <w:rsid w:val="003E16BE"/>
    <w:rsid w:val="003E2119"/>
    <w:rsid w:val="003E24D7"/>
    <w:rsid w:val="003E4037"/>
    <w:rsid w:val="003E50A0"/>
    <w:rsid w:val="003E51FE"/>
    <w:rsid w:val="003E6958"/>
    <w:rsid w:val="003E7387"/>
    <w:rsid w:val="003F0E70"/>
    <w:rsid w:val="003F1057"/>
    <w:rsid w:val="003F2619"/>
    <w:rsid w:val="003F4BA3"/>
    <w:rsid w:val="003F4E28"/>
    <w:rsid w:val="004006E8"/>
    <w:rsid w:val="00401855"/>
    <w:rsid w:val="00405E79"/>
    <w:rsid w:val="00407274"/>
    <w:rsid w:val="00407C8F"/>
    <w:rsid w:val="00410BCA"/>
    <w:rsid w:val="00411D61"/>
    <w:rsid w:val="00415A22"/>
    <w:rsid w:val="004176F8"/>
    <w:rsid w:val="004212EF"/>
    <w:rsid w:val="004224F8"/>
    <w:rsid w:val="004249B8"/>
    <w:rsid w:val="00427A4E"/>
    <w:rsid w:val="00432F99"/>
    <w:rsid w:val="0043371B"/>
    <w:rsid w:val="00433CFB"/>
    <w:rsid w:val="0043423D"/>
    <w:rsid w:val="00436F3E"/>
    <w:rsid w:val="004413A7"/>
    <w:rsid w:val="0044363C"/>
    <w:rsid w:val="00446A33"/>
    <w:rsid w:val="004512BD"/>
    <w:rsid w:val="004524E6"/>
    <w:rsid w:val="00452B6C"/>
    <w:rsid w:val="00461F90"/>
    <w:rsid w:val="00464425"/>
    <w:rsid w:val="00465B4C"/>
    <w:rsid w:val="00471F31"/>
    <w:rsid w:val="0047495E"/>
    <w:rsid w:val="0047699B"/>
    <w:rsid w:val="00477455"/>
    <w:rsid w:val="00482723"/>
    <w:rsid w:val="00483FA8"/>
    <w:rsid w:val="00484B62"/>
    <w:rsid w:val="00494CF6"/>
    <w:rsid w:val="004A03B2"/>
    <w:rsid w:val="004A1F7B"/>
    <w:rsid w:val="004A4C5A"/>
    <w:rsid w:val="004B0BB3"/>
    <w:rsid w:val="004B0ED2"/>
    <w:rsid w:val="004B4791"/>
    <w:rsid w:val="004B7173"/>
    <w:rsid w:val="004C44D2"/>
    <w:rsid w:val="004C5AA0"/>
    <w:rsid w:val="004C7302"/>
    <w:rsid w:val="004D3578"/>
    <w:rsid w:val="004D380D"/>
    <w:rsid w:val="004D5A8E"/>
    <w:rsid w:val="004E1FEA"/>
    <w:rsid w:val="004E213A"/>
    <w:rsid w:val="004E40CD"/>
    <w:rsid w:val="00503171"/>
    <w:rsid w:val="00506C28"/>
    <w:rsid w:val="00510176"/>
    <w:rsid w:val="00512660"/>
    <w:rsid w:val="00512CA7"/>
    <w:rsid w:val="00513642"/>
    <w:rsid w:val="0051627F"/>
    <w:rsid w:val="00517C98"/>
    <w:rsid w:val="0052398B"/>
    <w:rsid w:val="00525C9F"/>
    <w:rsid w:val="00527128"/>
    <w:rsid w:val="005335F5"/>
    <w:rsid w:val="00534300"/>
    <w:rsid w:val="00534DA0"/>
    <w:rsid w:val="005362D5"/>
    <w:rsid w:val="00541BC2"/>
    <w:rsid w:val="00543E6C"/>
    <w:rsid w:val="00545BD9"/>
    <w:rsid w:val="005502AE"/>
    <w:rsid w:val="00552D69"/>
    <w:rsid w:val="00560B74"/>
    <w:rsid w:val="00563AEF"/>
    <w:rsid w:val="00565087"/>
    <w:rsid w:val="0056573F"/>
    <w:rsid w:val="0056638C"/>
    <w:rsid w:val="00570FDE"/>
    <w:rsid w:val="00572F1C"/>
    <w:rsid w:val="005841A9"/>
    <w:rsid w:val="0059143D"/>
    <w:rsid w:val="00594520"/>
    <w:rsid w:val="005A05E7"/>
    <w:rsid w:val="005A2265"/>
    <w:rsid w:val="005A2E40"/>
    <w:rsid w:val="005A4716"/>
    <w:rsid w:val="005A53BA"/>
    <w:rsid w:val="005A54C6"/>
    <w:rsid w:val="005A5625"/>
    <w:rsid w:val="005A60CA"/>
    <w:rsid w:val="005A7CDD"/>
    <w:rsid w:val="005B6FC5"/>
    <w:rsid w:val="005C6847"/>
    <w:rsid w:val="005D33A9"/>
    <w:rsid w:val="005D7306"/>
    <w:rsid w:val="005E2FF7"/>
    <w:rsid w:val="005E43F5"/>
    <w:rsid w:val="005E5CAF"/>
    <w:rsid w:val="005F127F"/>
    <w:rsid w:val="005F3B2A"/>
    <w:rsid w:val="005F48D4"/>
    <w:rsid w:val="00603263"/>
    <w:rsid w:val="00604CCC"/>
    <w:rsid w:val="00606696"/>
    <w:rsid w:val="0060683E"/>
    <w:rsid w:val="00607FA2"/>
    <w:rsid w:val="00611566"/>
    <w:rsid w:val="006150A0"/>
    <w:rsid w:val="00622DC4"/>
    <w:rsid w:val="00630529"/>
    <w:rsid w:val="00632ACB"/>
    <w:rsid w:val="006346C7"/>
    <w:rsid w:val="00634706"/>
    <w:rsid w:val="00634909"/>
    <w:rsid w:val="00634F25"/>
    <w:rsid w:val="00642B9D"/>
    <w:rsid w:val="00646D99"/>
    <w:rsid w:val="006520A1"/>
    <w:rsid w:val="00656910"/>
    <w:rsid w:val="006577FB"/>
    <w:rsid w:val="006606C4"/>
    <w:rsid w:val="006649EC"/>
    <w:rsid w:val="00664FEB"/>
    <w:rsid w:val="006728CE"/>
    <w:rsid w:val="0067501B"/>
    <w:rsid w:val="00680135"/>
    <w:rsid w:val="00680537"/>
    <w:rsid w:val="006831CA"/>
    <w:rsid w:val="006877B6"/>
    <w:rsid w:val="00687B05"/>
    <w:rsid w:val="0069055A"/>
    <w:rsid w:val="006977EE"/>
    <w:rsid w:val="006A3AAC"/>
    <w:rsid w:val="006A5282"/>
    <w:rsid w:val="006A56A0"/>
    <w:rsid w:val="006A7A2A"/>
    <w:rsid w:val="006B3F85"/>
    <w:rsid w:val="006B62BD"/>
    <w:rsid w:val="006C1C1D"/>
    <w:rsid w:val="006C3929"/>
    <w:rsid w:val="006C66D8"/>
    <w:rsid w:val="006C77C9"/>
    <w:rsid w:val="006D0B63"/>
    <w:rsid w:val="006D1E24"/>
    <w:rsid w:val="006D3E01"/>
    <w:rsid w:val="006D5076"/>
    <w:rsid w:val="006E1417"/>
    <w:rsid w:val="006E1AF9"/>
    <w:rsid w:val="006E206B"/>
    <w:rsid w:val="006E24F9"/>
    <w:rsid w:val="006E6B13"/>
    <w:rsid w:val="006F6A2C"/>
    <w:rsid w:val="00703EDA"/>
    <w:rsid w:val="00710201"/>
    <w:rsid w:val="0071205A"/>
    <w:rsid w:val="00713939"/>
    <w:rsid w:val="007145B2"/>
    <w:rsid w:val="00727847"/>
    <w:rsid w:val="007342B5"/>
    <w:rsid w:val="00734A5B"/>
    <w:rsid w:val="007353E2"/>
    <w:rsid w:val="007357FB"/>
    <w:rsid w:val="0074106D"/>
    <w:rsid w:val="00742681"/>
    <w:rsid w:val="00744E76"/>
    <w:rsid w:val="00746CBB"/>
    <w:rsid w:val="00747E9B"/>
    <w:rsid w:val="007546FB"/>
    <w:rsid w:val="00756B0A"/>
    <w:rsid w:val="00757385"/>
    <w:rsid w:val="00757857"/>
    <w:rsid w:val="00757B1C"/>
    <w:rsid w:val="00757D40"/>
    <w:rsid w:val="007608FC"/>
    <w:rsid w:val="00762E86"/>
    <w:rsid w:val="00763C95"/>
    <w:rsid w:val="007669BF"/>
    <w:rsid w:val="007737D6"/>
    <w:rsid w:val="00774796"/>
    <w:rsid w:val="00775936"/>
    <w:rsid w:val="00776DD5"/>
    <w:rsid w:val="00780E18"/>
    <w:rsid w:val="00781F0F"/>
    <w:rsid w:val="00786DC3"/>
    <w:rsid w:val="0078727C"/>
    <w:rsid w:val="0079049D"/>
    <w:rsid w:val="00791F23"/>
    <w:rsid w:val="00793749"/>
    <w:rsid w:val="00793DC5"/>
    <w:rsid w:val="007A0C8B"/>
    <w:rsid w:val="007A76B3"/>
    <w:rsid w:val="007A773E"/>
    <w:rsid w:val="007B18D8"/>
    <w:rsid w:val="007B55D5"/>
    <w:rsid w:val="007C095F"/>
    <w:rsid w:val="007C0E00"/>
    <w:rsid w:val="007C206C"/>
    <w:rsid w:val="007C26C6"/>
    <w:rsid w:val="007C2DD0"/>
    <w:rsid w:val="007C370E"/>
    <w:rsid w:val="007C5CA9"/>
    <w:rsid w:val="007C7250"/>
    <w:rsid w:val="007D1649"/>
    <w:rsid w:val="007D5A3A"/>
    <w:rsid w:val="007E06BF"/>
    <w:rsid w:val="007E3E29"/>
    <w:rsid w:val="007E7057"/>
    <w:rsid w:val="007F6CB6"/>
    <w:rsid w:val="007F6FF4"/>
    <w:rsid w:val="00800D2C"/>
    <w:rsid w:val="008028A4"/>
    <w:rsid w:val="008050E0"/>
    <w:rsid w:val="00806655"/>
    <w:rsid w:val="00806BCC"/>
    <w:rsid w:val="00813245"/>
    <w:rsid w:val="0081615D"/>
    <w:rsid w:val="00816A8C"/>
    <w:rsid w:val="008171E6"/>
    <w:rsid w:val="008203FE"/>
    <w:rsid w:val="0082251E"/>
    <w:rsid w:val="00826B42"/>
    <w:rsid w:val="008307EB"/>
    <w:rsid w:val="0083340C"/>
    <w:rsid w:val="00834329"/>
    <w:rsid w:val="00840DF3"/>
    <w:rsid w:val="00841E8B"/>
    <w:rsid w:val="0084483F"/>
    <w:rsid w:val="00844AF2"/>
    <w:rsid w:val="00846FAE"/>
    <w:rsid w:val="008641C2"/>
    <w:rsid w:val="00864918"/>
    <w:rsid w:val="00866FFE"/>
    <w:rsid w:val="008700FE"/>
    <w:rsid w:val="0087189E"/>
    <w:rsid w:val="00872041"/>
    <w:rsid w:val="0087228D"/>
    <w:rsid w:val="00875649"/>
    <w:rsid w:val="008768CA"/>
    <w:rsid w:val="00876A65"/>
    <w:rsid w:val="00876F06"/>
    <w:rsid w:val="00877EF9"/>
    <w:rsid w:val="00880559"/>
    <w:rsid w:val="008815B4"/>
    <w:rsid w:val="00883C90"/>
    <w:rsid w:val="0089429B"/>
    <w:rsid w:val="00894776"/>
    <w:rsid w:val="00895782"/>
    <w:rsid w:val="008A1B05"/>
    <w:rsid w:val="008B3CC9"/>
    <w:rsid w:val="008B5306"/>
    <w:rsid w:val="008C74B1"/>
    <w:rsid w:val="008D08CB"/>
    <w:rsid w:val="008D0F21"/>
    <w:rsid w:val="008D1BEC"/>
    <w:rsid w:val="008D2475"/>
    <w:rsid w:val="008D29CC"/>
    <w:rsid w:val="008D2E4D"/>
    <w:rsid w:val="008D3E4A"/>
    <w:rsid w:val="008D446F"/>
    <w:rsid w:val="008E00FF"/>
    <w:rsid w:val="008E41D4"/>
    <w:rsid w:val="008E4BC7"/>
    <w:rsid w:val="008E4E9B"/>
    <w:rsid w:val="008F1893"/>
    <w:rsid w:val="008F396F"/>
    <w:rsid w:val="008F5FBA"/>
    <w:rsid w:val="0090271F"/>
    <w:rsid w:val="00902DB9"/>
    <w:rsid w:val="0090466A"/>
    <w:rsid w:val="00911238"/>
    <w:rsid w:val="00912F37"/>
    <w:rsid w:val="00916508"/>
    <w:rsid w:val="009178EF"/>
    <w:rsid w:val="00923A24"/>
    <w:rsid w:val="0092524A"/>
    <w:rsid w:val="009330E0"/>
    <w:rsid w:val="009344F5"/>
    <w:rsid w:val="00934EB9"/>
    <w:rsid w:val="00934FC0"/>
    <w:rsid w:val="00936071"/>
    <w:rsid w:val="0093685D"/>
    <w:rsid w:val="00936AE5"/>
    <w:rsid w:val="009375C5"/>
    <w:rsid w:val="00940212"/>
    <w:rsid w:val="009417B8"/>
    <w:rsid w:val="00942EC2"/>
    <w:rsid w:val="009439B2"/>
    <w:rsid w:val="00944967"/>
    <w:rsid w:val="0095157A"/>
    <w:rsid w:val="00952E67"/>
    <w:rsid w:val="00954AF8"/>
    <w:rsid w:val="00961B32"/>
    <w:rsid w:val="00963488"/>
    <w:rsid w:val="00966691"/>
    <w:rsid w:val="00966DEB"/>
    <w:rsid w:val="00966E30"/>
    <w:rsid w:val="00970DB3"/>
    <w:rsid w:val="00974BB0"/>
    <w:rsid w:val="009765D0"/>
    <w:rsid w:val="0097674C"/>
    <w:rsid w:val="00982CDF"/>
    <w:rsid w:val="00984843"/>
    <w:rsid w:val="00984F6F"/>
    <w:rsid w:val="00986AC6"/>
    <w:rsid w:val="009970D2"/>
    <w:rsid w:val="009A0AF3"/>
    <w:rsid w:val="009A4AED"/>
    <w:rsid w:val="009A4FB7"/>
    <w:rsid w:val="009B07CD"/>
    <w:rsid w:val="009B168E"/>
    <w:rsid w:val="009B19F2"/>
    <w:rsid w:val="009B2D7B"/>
    <w:rsid w:val="009B337E"/>
    <w:rsid w:val="009B3884"/>
    <w:rsid w:val="009B7000"/>
    <w:rsid w:val="009B7011"/>
    <w:rsid w:val="009B7121"/>
    <w:rsid w:val="009C19E9"/>
    <w:rsid w:val="009C2476"/>
    <w:rsid w:val="009C2C22"/>
    <w:rsid w:val="009C3546"/>
    <w:rsid w:val="009C5E7C"/>
    <w:rsid w:val="009D2097"/>
    <w:rsid w:val="009D41FB"/>
    <w:rsid w:val="009D600B"/>
    <w:rsid w:val="009D74A6"/>
    <w:rsid w:val="009D7A04"/>
    <w:rsid w:val="009E0339"/>
    <w:rsid w:val="009F18B0"/>
    <w:rsid w:val="009F2D07"/>
    <w:rsid w:val="00A0318F"/>
    <w:rsid w:val="00A10F02"/>
    <w:rsid w:val="00A1115F"/>
    <w:rsid w:val="00A151EB"/>
    <w:rsid w:val="00A204CA"/>
    <w:rsid w:val="00A235EB"/>
    <w:rsid w:val="00A2423B"/>
    <w:rsid w:val="00A26B05"/>
    <w:rsid w:val="00A31E01"/>
    <w:rsid w:val="00A351EC"/>
    <w:rsid w:val="00A35482"/>
    <w:rsid w:val="00A40340"/>
    <w:rsid w:val="00A47F8C"/>
    <w:rsid w:val="00A50A8B"/>
    <w:rsid w:val="00A53724"/>
    <w:rsid w:val="00A5665B"/>
    <w:rsid w:val="00A568AE"/>
    <w:rsid w:val="00A62833"/>
    <w:rsid w:val="00A64183"/>
    <w:rsid w:val="00A6488F"/>
    <w:rsid w:val="00A7114B"/>
    <w:rsid w:val="00A73AC5"/>
    <w:rsid w:val="00A76D58"/>
    <w:rsid w:val="00A82082"/>
    <w:rsid w:val="00A82346"/>
    <w:rsid w:val="00A85AB8"/>
    <w:rsid w:val="00A9185A"/>
    <w:rsid w:val="00A9240E"/>
    <w:rsid w:val="00A94EB8"/>
    <w:rsid w:val="00A9671C"/>
    <w:rsid w:val="00AA1553"/>
    <w:rsid w:val="00AA6373"/>
    <w:rsid w:val="00AA697F"/>
    <w:rsid w:val="00AB7714"/>
    <w:rsid w:val="00AC0417"/>
    <w:rsid w:val="00AC3917"/>
    <w:rsid w:val="00AC4CA9"/>
    <w:rsid w:val="00AD5F89"/>
    <w:rsid w:val="00AD793D"/>
    <w:rsid w:val="00AE2112"/>
    <w:rsid w:val="00AE4679"/>
    <w:rsid w:val="00AF1675"/>
    <w:rsid w:val="00AF199D"/>
    <w:rsid w:val="00AF5CC7"/>
    <w:rsid w:val="00AF6889"/>
    <w:rsid w:val="00AF6C5D"/>
    <w:rsid w:val="00B00B26"/>
    <w:rsid w:val="00B05962"/>
    <w:rsid w:val="00B15449"/>
    <w:rsid w:val="00B15949"/>
    <w:rsid w:val="00B20AC6"/>
    <w:rsid w:val="00B228F7"/>
    <w:rsid w:val="00B25010"/>
    <w:rsid w:val="00B26CA9"/>
    <w:rsid w:val="00B27303"/>
    <w:rsid w:val="00B30C6E"/>
    <w:rsid w:val="00B32B92"/>
    <w:rsid w:val="00B34629"/>
    <w:rsid w:val="00B40CB4"/>
    <w:rsid w:val="00B40D16"/>
    <w:rsid w:val="00B4435D"/>
    <w:rsid w:val="00B44DD2"/>
    <w:rsid w:val="00B4646F"/>
    <w:rsid w:val="00B4753E"/>
    <w:rsid w:val="00B47FD1"/>
    <w:rsid w:val="00B516BB"/>
    <w:rsid w:val="00B51AC0"/>
    <w:rsid w:val="00B54FCB"/>
    <w:rsid w:val="00B568FD"/>
    <w:rsid w:val="00B5736A"/>
    <w:rsid w:val="00B6026F"/>
    <w:rsid w:val="00B706CD"/>
    <w:rsid w:val="00B76AB1"/>
    <w:rsid w:val="00B76E87"/>
    <w:rsid w:val="00B7777B"/>
    <w:rsid w:val="00B840DA"/>
    <w:rsid w:val="00B90649"/>
    <w:rsid w:val="00B91947"/>
    <w:rsid w:val="00B91A33"/>
    <w:rsid w:val="00B947C0"/>
    <w:rsid w:val="00B95523"/>
    <w:rsid w:val="00BA0C61"/>
    <w:rsid w:val="00BA1063"/>
    <w:rsid w:val="00BA3A5D"/>
    <w:rsid w:val="00BB0B22"/>
    <w:rsid w:val="00BB4E4B"/>
    <w:rsid w:val="00BB73A9"/>
    <w:rsid w:val="00BC0203"/>
    <w:rsid w:val="00BC035B"/>
    <w:rsid w:val="00BC054C"/>
    <w:rsid w:val="00BC3555"/>
    <w:rsid w:val="00BC4D38"/>
    <w:rsid w:val="00BD398E"/>
    <w:rsid w:val="00BD4333"/>
    <w:rsid w:val="00BD4BD1"/>
    <w:rsid w:val="00BE031B"/>
    <w:rsid w:val="00BE2478"/>
    <w:rsid w:val="00BE4268"/>
    <w:rsid w:val="00BE512D"/>
    <w:rsid w:val="00BF2586"/>
    <w:rsid w:val="00BF629E"/>
    <w:rsid w:val="00BF6596"/>
    <w:rsid w:val="00BF6EB7"/>
    <w:rsid w:val="00C015B5"/>
    <w:rsid w:val="00C019C0"/>
    <w:rsid w:val="00C04CD9"/>
    <w:rsid w:val="00C05B5E"/>
    <w:rsid w:val="00C10D49"/>
    <w:rsid w:val="00C12B51"/>
    <w:rsid w:val="00C132A5"/>
    <w:rsid w:val="00C1497E"/>
    <w:rsid w:val="00C2453E"/>
    <w:rsid w:val="00C24650"/>
    <w:rsid w:val="00C27634"/>
    <w:rsid w:val="00C31BA3"/>
    <w:rsid w:val="00C33079"/>
    <w:rsid w:val="00C34CC6"/>
    <w:rsid w:val="00C34E73"/>
    <w:rsid w:val="00C3548B"/>
    <w:rsid w:val="00C418B7"/>
    <w:rsid w:val="00C41AFF"/>
    <w:rsid w:val="00C52334"/>
    <w:rsid w:val="00C52E75"/>
    <w:rsid w:val="00C55079"/>
    <w:rsid w:val="00C639BE"/>
    <w:rsid w:val="00C709B6"/>
    <w:rsid w:val="00C71BAC"/>
    <w:rsid w:val="00C7345E"/>
    <w:rsid w:val="00C73CFF"/>
    <w:rsid w:val="00C74537"/>
    <w:rsid w:val="00C826CF"/>
    <w:rsid w:val="00C82B37"/>
    <w:rsid w:val="00C83A13"/>
    <w:rsid w:val="00C864F5"/>
    <w:rsid w:val="00C9068C"/>
    <w:rsid w:val="00C90ED5"/>
    <w:rsid w:val="00C91034"/>
    <w:rsid w:val="00C91710"/>
    <w:rsid w:val="00C92967"/>
    <w:rsid w:val="00C93A18"/>
    <w:rsid w:val="00C9650D"/>
    <w:rsid w:val="00CA2E96"/>
    <w:rsid w:val="00CA3D0C"/>
    <w:rsid w:val="00CA654B"/>
    <w:rsid w:val="00CA7962"/>
    <w:rsid w:val="00CB5D92"/>
    <w:rsid w:val="00CB6A74"/>
    <w:rsid w:val="00CB6F5B"/>
    <w:rsid w:val="00CD4C7B"/>
    <w:rsid w:val="00CD5795"/>
    <w:rsid w:val="00CD7707"/>
    <w:rsid w:val="00CE1681"/>
    <w:rsid w:val="00CE29EF"/>
    <w:rsid w:val="00CE2CEE"/>
    <w:rsid w:val="00CE5D7F"/>
    <w:rsid w:val="00CE6889"/>
    <w:rsid w:val="00CE75DF"/>
    <w:rsid w:val="00CE7ABA"/>
    <w:rsid w:val="00CF3640"/>
    <w:rsid w:val="00CF7B63"/>
    <w:rsid w:val="00D05935"/>
    <w:rsid w:val="00D145BC"/>
    <w:rsid w:val="00D1632C"/>
    <w:rsid w:val="00D17979"/>
    <w:rsid w:val="00D2617D"/>
    <w:rsid w:val="00D26182"/>
    <w:rsid w:val="00D3050D"/>
    <w:rsid w:val="00D31234"/>
    <w:rsid w:val="00D32476"/>
    <w:rsid w:val="00D33BE3"/>
    <w:rsid w:val="00D36096"/>
    <w:rsid w:val="00D3792D"/>
    <w:rsid w:val="00D37F6C"/>
    <w:rsid w:val="00D40C2E"/>
    <w:rsid w:val="00D42BF1"/>
    <w:rsid w:val="00D43A23"/>
    <w:rsid w:val="00D4691D"/>
    <w:rsid w:val="00D47E35"/>
    <w:rsid w:val="00D504CD"/>
    <w:rsid w:val="00D53B01"/>
    <w:rsid w:val="00D53FE0"/>
    <w:rsid w:val="00D55E47"/>
    <w:rsid w:val="00D57DAC"/>
    <w:rsid w:val="00D6053F"/>
    <w:rsid w:val="00D609A0"/>
    <w:rsid w:val="00D60FCC"/>
    <w:rsid w:val="00D62E19"/>
    <w:rsid w:val="00D62F8A"/>
    <w:rsid w:val="00D64929"/>
    <w:rsid w:val="00D65E4C"/>
    <w:rsid w:val="00D666B2"/>
    <w:rsid w:val="00D67CD1"/>
    <w:rsid w:val="00D70657"/>
    <w:rsid w:val="00D738D6"/>
    <w:rsid w:val="00D80795"/>
    <w:rsid w:val="00D82F3F"/>
    <w:rsid w:val="00D854BE"/>
    <w:rsid w:val="00D87E00"/>
    <w:rsid w:val="00D90DD0"/>
    <w:rsid w:val="00D91111"/>
    <w:rsid w:val="00D9134D"/>
    <w:rsid w:val="00D9403B"/>
    <w:rsid w:val="00D96D11"/>
    <w:rsid w:val="00DA0B9E"/>
    <w:rsid w:val="00DA48EA"/>
    <w:rsid w:val="00DA5157"/>
    <w:rsid w:val="00DA5F0A"/>
    <w:rsid w:val="00DA6A08"/>
    <w:rsid w:val="00DA7A03"/>
    <w:rsid w:val="00DB0427"/>
    <w:rsid w:val="00DB0DB8"/>
    <w:rsid w:val="00DB1818"/>
    <w:rsid w:val="00DB42E7"/>
    <w:rsid w:val="00DB51E7"/>
    <w:rsid w:val="00DC01F3"/>
    <w:rsid w:val="00DC04F9"/>
    <w:rsid w:val="00DC08C5"/>
    <w:rsid w:val="00DC309B"/>
    <w:rsid w:val="00DC4DA2"/>
    <w:rsid w:val="00DD3638"/>
    <w:rsid w:val="00DE2EDA"/>
    <w:rsid w:val="00DE321C"/>
    <w:rsid w:val="00DE664A"/>
    <w:rsid w:val="00DF08BC"/>
    <w:rsid w:val="00DF3416"/>
    <w:rsid w:val="00DF3511"/>
    <w:rsid w:val="00DF4378"/>
    <w:rsid w:val="00DF69B8"/>
    <w:rsid w:val="00E05C7C"/>
    <w:rsid w:val="00E06BE0"/>
    <w:rsid w:val="00E07D0B"/>
    <w:rsid w:val="00E114CF"/>
    <w:rsid w:val="00E11A41"/>
    <w:rsid w:val="00E12597"/>
    <w:rsid w:val="00E14F1B"/>
    <w:rsid w:val="00E2155D"/>
    <w:rsid w:val="00E30391"/>
    <w:rsid w:val="00E36531"/>
    <w:rsid w:val="00E428AC"/>
    <w:rsid w:val="00E429B9"/>
    <w:rsid w:val="00E44041"/>
    <w:rsid w:val="00E45918"/>
    <w:rsid w:val="00E46E90"/>
    <w:rsid w:val="00E471CF"/>
    <w:rsid w:val="00E50B8A"/>
    <w:rsid w:val="00E53CA3"/>
    <w:rsid w:val="00E54510"/>
    <w:rsid w:val="00E56643"/>
    <w:rsid w:val="00E569D6"/>
    <w:rsid w:val="00E56FD9"/>
    <w:rsid w:val="00E62835"/>
    <w:rsid w:val="00E70886"/>
    <w:rsid w:val="00E77645"/>
    <w:rsid w:val="00E818D8"/>
    <w:rsid w:val="00E82E1E"/>
    <w:rsid w:val="00E83697"/>
    <w:rsid w:val="00E97623"/>
    <w:rsid w:val="00EA1721"/>
    <w:rsid w:val="00EA1FA4"/>
    <w:rsid w:val="00EA3AB0"/>
    <w:rsid w:val="00EA65CB"/>
    <w:rsid w:val="00EB0AF6"/>
    <w:rsid w:val="00EB4383"/>
    <w:rsid w:val="00EB4DD7"/>
    <w:rsid w:val="00EC1527"/>
    <w:rsid w:val="00EC404A"/>
    <w:rsid w:val="00EC4A25"/>
    <w:rsid w:val="00EC7720"/>
    <w:rsid w:val="00ED1E19"/>
    <w:rsid w:val="00ED45BC"/>
    <w:rsid w:val="00ED6037"/>
    <w:rsid w:val="00EE5772"/>
    <w:rsid w:val="00EF2481"/>
    <w:rsid w:val="00EF31F5"/>
    <w:rsid w:val="00EF65E9"/>
    <w:rsid w:val="00F013C5"/>
    <w:rsid w:val="00F025A2"/>
    <w:rsid w:val="00F03924"/>
    <w:rsid w:val="00F03B62"/>
    <w:rsid w:val="00F04CF5"/>
    <w:rsid w:val="00F0501F"/>
    <w:rsid w:val="00F07388"/>
    <w:rsid w:val="00F07E60"/>
    <w:rsid w:val="00F10B28"/>
    <w:rsid w:val="00F13B63"/>
    <w:rsid w:val="00F2026E"/>
    <w:rsid w:val="00F2210A"/>
    <w:rsid w:val="00F23C07"/>
    <w:rsid w:val="00F23F84"/>
    <w:rsid w:val="00F2435A"/>
    <w:rsid w:val="00F258E8"/>
    <w:rsid w:val="00F27EC4"/>
    <w:rsid w:val="00F34BBB"/>
    <w:rsid w:val="00F37063"/>
    <w:rsid w:val="00F37743"/>
    <w:rsid w:val="00F41B4E"/>
    <w:rsid w:val="00F4250A"/>
    <w:rsid w:val="00F44AFE"/>
    <w:rsid w:val="00F50CF2"/>
    <w:rsid w:val="00F516FB"/>
    <w:rsid w:val="00F5196E"/>
    <w:rsid w:val="00F521E9"/>
    <w:rsid w:val="00F530E9"/>
    <w:rsid w:val="00F535E2"/>
    <w:rsid w:val="00F54A3D"/>
    <w:rsid w:val="00F54CB0"/>
    <w:rsid w:val="00F56CA9"/>
    <w:rsid w:val="00F64CCD"/>
    <w:rsid w:val="00F653B8"/>
    <w:rsid w:val="00F71B89"/>
    <w:rsid w:val="00F71D1E"/>
    <w:rsid w:val="00F71F52"/>
    <w:rsid w:val="00F7353C"/>
    <w:rsid w:val="00F76F8F"/>
    <w:rsid w:val="00F85AE7"/>
    <w:rsid w:val="00F9324A"/>
    <w:rsid w:val="00F941DF"/>
    <w:rsid w:val="00FA1266"/>
    <w:rsid w:val="00FA30C4"/>
    <w:rsid w:val="00FA66E4"/>
    <w:rsid w:val="00FB0ECE"/>
    <w:rsid w:val="00FB36FA"/>
    <w:rsid w:val="00FB6874"/>
    <w:rsid w:val="00FB6AE2"/>
    <w:rsid w:val="00FC1192"/>
    <w:rsid w:val="00FC5DFE"/>
    <w:rsid w:val="00FC640D"/>
    <w:rsid w:val="00FD2F69"/>
    <w:rsid w:val="00FD51D7"/>
    <w:rsid w:val="00FD7243"/>
    <w:rsid w:val="00FE251B"/>
    <w:rsid w:val="00FE3433"/>
    <w:rsid w:val="00FE4EAC"/>
    <w:rsid w:val="00FE65FC"/>
    <w:rsid w:val="00FF26B8"/>
    <w:rsid w:val="00FF45C1"/>
    <w:rsid w:val="00FF5F28"/>
    <w:rsid w:val="00FF62A8"/>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spacing w:after="200"/>
    </w:pPr>
    <w:rPr>
      <w:i/>
      <w:iCs/>
      <w:color w:val="44546A" w:themeColor="text2"/>
      <w:sz w:val="18"/>
      <w:szCs w:val="18"/>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basedOn w:val="Normal"/>
    <w:uiPriority w:val="34"/>
    <w:qFormat/>
    <w:rsid w:val="006C77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1882BB28-EF3B-4505-9D0B-2A78D2244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110</TotalTime>
  <Pages>3</Pages>
  <Words>1686</Words>
  <Characters>9611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11275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Fasil Abdul Latheef/Modem Commercialization /SRI-Bangalore/Staff Engineer/삼성전자</cp:lastModifiedBy>
  <cp:revision>57</cp:revision>
  <dcterms:created xsi:type="dcterms:W3CDTF">2019-08-10T11:18:00Z</dcterms:created>
  <dcterms:modified xsi:type="dcterms:W3CDTF">2019-08-16T05:38:00Z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